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2DD" w14:textId="556463B0" w:rsidR="00D04B89" w:rsidRDefault="00D04B89" w:rsidP="00D04B89">
      <w:pPr>
        <w:pStyle w:val="Heading1"/>
        <w:rPr>
          <w:rFonts w:eastAsia="Arial"/>
        </w:rPr>
      </w:pPr>
      <w:bookmarkStart w:id="0" w:name="_Toc449687247"/>
      <w:r w:rsidRPr="004E0F5B">
        <w:rPr>
          <w:rFonts w:eastAsia="Arial"/>
        </w:rPr>
        <w:t xml:space="preserve"> </w:t>
      </w:r>
      <w:r>
        <w:rPr>
          <w:rFonts w:eastAsia="Arial"/>
        </w:rPr>
        <w:t>Pupil p</w:t>
      </w:r>
      <w:r w:rsidRPr="004E0F5B">
        <w:rPr>
          <w:rFonts w:eastAsia="Arial"/>
        </w:rPr>
        <w:t xml:space="preserve">remium statement </w:t>
      </w:r>
      <w:bookmarkEnd w:id="0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929"/>
        <w:gridCol w:w="1131"/>
        <w:gridCol w:w="3942"/>
        <w:gridCol w:w="1218"/>
        <w:gridCol w:w="5207"/>
        <w:gridCol w:w="990"/>
      </w:tblGrid>
      <w:tr w:rsidR="00326C32" w:rsidRPr="00326C32" w14:paraId="4B2B8041" w14:textId="77777777" w:rsidTr="005A71BA">
        <w:trPr>
          <w:trHeight w:hRule="exact" w:val="34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01D3AA03" w:rsidR="00326C32" w:rsidRPr="00326C32" w:rsidRDefault="00326C32" w:rsidP="00AD1C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</w:p>
        </w:tc>
      </w:tr>
      <w:tr w:rsidR="00326C32" w:rsidRPr="00326C32" w14:paraId="67FC0154" w14:textId="77777777" w:rsidTr="007C740C">
        <w:trPr>
          <w:trHeight w:hRule="exact" w:val="340"/>
        </w:trPr>
        <w:tc>
          <w:tcPr>
            <w:tcW w:w="2929" w:type="dxa"/>
            <w:tcMar>
              <w:top w:w="57" w:type="dxa"/>
              <w:bottom w:w="57" w:type="dxa"/>
            </w:tcMar>
          </w:tcPr>
          <w:p w14:paraId="5EE41E0B" w14:textId="77777777" w:rsidR="00326C32" w:rsidRPr="001A25DC" w:rsidRDefault="00326C32" w:rsidP="00D04B89">
            <w:pPr>
              <w:rPr>
                <w:rFonts w:cs="Arial"/>
                <w:b/>
                <w:sz w:val="22"/>
              </w:rPr>
            </w:pPr>
            <w:r w:rsidRPr="001A25DC">
              <w:rPr>
                <w:rFonts w:cs="Arial"/>
                <w:b/>
                <w:sz w:val="22"/>
              </w:rPr>
              <w:t>School</w:t>
            </w:r>
          </w:p>
        </w:tc>
        <w:tc>
          <w:tcPr>
            <w:tcW w:w="12488" w:type="dxa"/>
            <w:gridSpan w:val="5"/>
            <w:tcMar>
              <w:top w:w="57" w:type="dxa"/>
              <w:bottom w:w="57" w:type="dxa"/>
            </w:tcMar>
          </w:tcPr>
          <w:p w14:paraId="7061836E" w14:textId="33DFC160" w:rsidR="00326C32" w:rsidRPr="00326C32" w:rsidRDefault="008A23F9" w:rsidP="008A23F9">
            <w:pPr>
              <w:rPr>
                <w:rFonts w:cs="Arial"/>
              </w:rPr>
            </w:pPr>
            <w:r>
              <w:rPr>
                <w:rFonts w:cs="Arial"/>
              </w:rPr>
              <w:t>The Academy at St James</w:t>
            </w:r>
            <w:bookmarkStart w:id="1" w:name="_GoBack"/>
            <w:bookmarkEnd w:id="1"/>
          </w:p>
        </w:tc>
      </w:tr>
      <w:tr w:rsidR="00326C32" w:rsidRPr="00326C32" w14:paraId="09968618" w14:textId="77777777" w:rsidTr="007C740C">
        <w:trPr>
          <w:trHeight w:hRule="exact" w:val="340"/>
        </w:trPr>
        <w:tc>
          <w:tcPr>
            <w:tcW w:w="2929" w:type="dxa"/>
            <w:tcMar>
              <w:top w:w="57" w:type="dxa"/>
              <w:bottom w:w="57" w:type="dxa"/>
            </w:tcMar>
          </w:tcPr>
          <w:p w14:paraId="49CBE2C9" w14:textId="77777777" w:rsidR="00326C32" w:rsidRPr="001A25DC" w:rsidRDefault="00326C32" w:rsidP="00D04B89">
            <w:pPr>
              <w:rPr>
                <w:rFonts w:cs="Arial"/>
                <w:b/>
                <w:sz w:val="22"/>
              </w:rPr>
            </w:pPr>
            <w:r w:rsidRPr="001A25DC">
              <w:rPr>
                <w:rFonts w:cs="Arial"/>
                <w:b/>
                <w:sz w:val="22"/>
              </w:rPr>
              <w:t>Academic Year</w:t>
            </w:r>
          </w:p>
        </w:tc>
        <w:tc>
          <w:tcPr>
            <w:tcW w:w="1131" w:type="dxa"/>
            <w:tcMar>
              <w:top w:w="57" w:type="dxa"/>
              <w:bottom w:w="57" w:type="dxa"/>
            </w:tcMar>
          </w:tcPr>
          <w:p w14:paraId="2DC808BF" w14:textId="1F80D8FB" w:rsidR="00326C32" w:rsidRPr="00326C32" w:rsidRDefault="00BE5BC4" w:rsidP="00D04B89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941F1B">
              <w:rPr>
                <w:rFonts w:cs="Arial"/>
              </w:rPr>
              <w:t>8</w:t>
            </w:r>
          </w:p>
        </w:tc>
        <w:tc>
          <w:tcPr>
            <w:tcW w:w="3942" w:type="dxa"/>
          </w:tcPr>
          <w:p w14:paraId="6E04450D" w14:textId="77777777" w:rsidR="00326C32" w:rsidRPr="00326C32" w:rsidRDefault="00326C32" w:rsidP="00D04B89">
            <w:pPr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PP budget</w:t>
            </w:r>
          </w:p>
        </w:tc>
        <w:tc>
          <w:tcPr>
            <w:tcW w:w="1218" w:type="dxa"/>
          </w:tcPr>
          <w:p w14:paraId="34D9F05F" w14:textId="0DFB5F5E" w:rsidR="00326C32" w:rsidRPr="00326C32" w:rsidRDefault="000145B5" w:rsidP="00EC4226">
            <w:pPr>
              <w:rPr>
                <w:rFonts w:cs="Arial"/>
              </w:rPr>
            </w:pPr>
            <w:r>
              <w:rPr>
                <w:rFonts w:cs="Arial"/>
                <w:b/>
              </w:rPr>
              <w:t>£</w:t>
            </w:r>
            <w:r w:rsidR="00941F1B">
              <w:rPr>
                <w:rFonts w:cs="Arial"/>
                <w:b/>
              </w:rPr>
              <w:t>219,120</w:t>
            </w:r>
          </w:p>
        </w:tc>
        <w:tc>
          <w:tcPr>
            <w:tcW w:w="5207" w:type="dxa"/>
          </w:tcPr>
          <w:p w14:paraId="27E72EAD" w14:textId="77777777" w:rsidR="00326C32" w:rsidRPr="001A25DC" w:rsidRDefault="00326C32" w:rsidP="00D04B89">
            <w:pPr>
              <w:rPr>
                <w:rFonts w:cs="Arial"/>
                <w:sz w:val="22"/>
              </w:rPr>
            </w:pPr>
            <w:r w:rsidRPr="001A25DC">
              <w:rPr>
                <w:rFonts w:cs="Arial"/>
                <w:b/>
                <w:sz w:val="22"/>
              </w:rPr>
              <w:t>Date of most recent PP Review</w:t>
            </w:r>
          </w:p>
        </w:tc>
        <w:tc>
          <w:tcPr>
            <w:tcW w:w="990" w:type="dxa"/>
          </w:tcPr>
          <w:p w14:paraId="6AF6653B" w14:textId="28AA8C67" w:rsidR="00326C32" w:rsidRPr="00326C32" w:rsidRDefault="00245048" w:rsidP="00D04B89">
            <w:pPr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941F1B">
              <w:rPr>
                <w:rFonts w:cs="Arial"/>
              </w:rPr>
              <w:t>8</w:t>
            </w:r>
          </w:p>
        </w:tc>
      </w:tr>
      <w:tr w:rsidR="00326C32" w:rsidRPr="00326C32" w14:paraId="0A3FC8D4" w14:textId="77777777" w:rsidTr="007C740C">
        <w:trPr>
          <w:trHeight w:hRule="exact" w:val="488"/>
        </w:trPr>
        <w:tc>
          <w:tcPr>
            <w:tcW w:w="2929" w:type="dxa"/>
            <w:tcMar>
              <w:top w:w="57" w:type="dxa"/>
              <w:bottom w:w="57" w:type="dxa"/>
            </w:tcMar>
          </w:tcPr>
          <w:p w14:paraId="6EA2EB5B" w14:textId="77777777" w:rsidR="00326C32" w:rsidRPr="001A25DC" w:rsidRDefault="00326C32" w:rsidP="000C6B02">
            <w:pPr>
              <w:contextualSpacing/>
              <w:rPr>
                <w:rFonts w:cs="Arial"/>
                <w:sz w:val="22"/>
              </w:rPr>
            </w:pPr>
            <w:r w:rsidRPr="001A25DC">
              <w:rPr>
                <w:rFonts w:cs="Arial"/>
                <w:b/>
                <w:sz w:val="22"/>
              </w:rPr>
              <w:t>Total number of pupils</w:t>
            </w:r>
          </w:p>
        </w:tc>
        <w:tc>
          <w:tcPr>
            <w:tcW w:w="1131" w:type="dxa"/>
            <w:tcMar>
              <w:top w:w="57" w:type="dxa"/>
              <w:bottom w:w="57" w:type="dxa"/>
            </w:tcMar>
          </w:tcPr>
          <w:p w14:paraId="7B2BFB70" w14:textId="38E8B53A" w:rsidR="00326C32" w:rsidRPr="00326C32" w:rsidRDefault="00941F1B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310</w:t>
            </w:r>
          </w:p>
        </w:tc>
        <w:tc>
          <w:tcPr>
            <w:tcW w:w="3942" w:type="dxa"/>
          </w:tcPr>
          <w:p w14:paraId="615A01C7" w14:textId="77777777" w:rsidR="00326C32" w:rsidRPr="00326C32" w:rsidRDefault="00326C32" w:rsidP="000C6B02">
            <w:pPr>
              <w:contextualSpacing/>
              <w:rPr>
                <w:rFonts w:cs="Arial"/>
              </w:rPr>
            </w:pPr>
            <w:r w:rsidRPr="00326C32">
              <w:rPr>
                <w:rFonts w:cs="Arial"/>
                <w:b/>
              </w:rPr>
              <w:t>Number of pupils eligible for PP</w:t>
            </w:r>
          </w:p>
        </w:tc>
        <w:tc>
          <w:tcPr>
            <w:tcW w:w="1218" w:type="dxa"/>
          </w:tcPr>
          <w:p w14:paraId="55032681" w14:textId="541BE7F9" w:rsidR="00326C32" w:rsidRPr="00326C32" w:rsidRDefault="00941F1B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131</w:t>
            </w:r>
          </w:p>
        </w:tc>
        <w:tc>
          <w:tcPr>
            <w:tcW w:w="5207" w:type="dxa"/>
          </w:tcPr>
          <w:p w14:paraId="74E8FC53" w14:textId="3C3F99D9" w:rsidR="00326C32" w:rsidRPr="001A25DC" w:rsidRDefault="00326C32" w:rsidP="000C6B02">
            <w:pPr>
              <w:contextualSpacing/>
              <w:rPr>
                <w:rFonts w:cs="Arial"/>
                <w:sz w:val="22"/>
              </w:rPr>
            </w:pPr>
            <w:r w:rsidRPr="001A25DC">
              <w:rPr>
                <w:rFonts w:cs="Arial"/>
                <w:b/>
                <w:sz w:val="22"/>
              </w:rPr>
              <w:t xml:space="preserve">Date for next </w:t>
            </w:r>
            <w:r w:rsidR="00A86089" w:rsidRPr="001A25DC">
              <w:rPr>
                <w:rFonts w:cs="Arial"/>
                <w:b/>
                <w:sz w:val="22"/>
              </w:rPr>
              <w:t>internal review of this strategy</w:t>
            </w:r>
          </w:p>
        </w:tc>
        <w:tc>
          <w:tcPr>
            <w:tcW w:w="990" w:type="dxa"/>
          </w:tcPr>
          <w:p w14:paraId="2924F7B6" w14:textId="5876F770" w:rsidR="00326C32" w:rsidRPr="00326C32" w:rsidRDefault="00830FE1" w:rsidP="000C6B02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941F1B">
              <w:rPr>
                <w:rFonts w:cs="Arial"/>
              </w:rPr>
              <w:t>9</w:t>
            </w:r>
          </w:p>
        </w:tc>
      </w:tr>
    </w:tbl>
    <w:p w14:paraId="4C0819F9" w14:textId="3C7AF3BD" w:rsidR="00326C32" w:rsidRPr="00531CFD" w:rsidRDefault="00326C32" w:rsidP="00326C32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4928"/>
        <w:gridCol w:w="1748"/>
        <w:gridCol w:w="1748"/>
        <w:gridCol w:w="1748"/>
        <w:gridCol w:w="1748"/>
        <w:gridCol w:w="1748"/>
        <w:gridCol w:w="1749"/>
      </w:tblGrid>
      <w:tr w:rsidR="00326C32" w:rsidRPr="00326C32" w14:paraId="42471951" w14:textId="77777777" w:rsidTr="00B463F6">
        <w:trPr>
          <w:trHeight w:hRule="exact" w:val="621"/>
        </w:trPr>
        <w:tc>
          <w:tcPr>
            <w:tcW w:w="15417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DD93EB2" w14:textId="333785BA" w:rsidR="00326C32" w:rsidRPr="00326C32" w:rsidRDefault="00941F1B" w:rsidP="00EC422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426" w:hanging="284"/>
              <w:contextualSpacing w:val="0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>2018</w:t>
            </w:r>
            <w:r w:rsidR="00EC4226">
              <w:rPr>
                <w:rFonts w:eastAsia="Arial" w:cs="Arial"/>
                <w:b/>
              </w:rPr>
              <w:t xml:space="preserve"> </w:t>
            </w:r>
            <w:r w:rsidR="00762D24">
              <w:rPr>
                <w:rFonts w:eastAsia="Arial" w:cs="Arial"/>
                <w:b/>
              </w:rPr>
              <w:t xml:space="preserve">Progress of eligible pupils in </w:t>
            </w:r>
            <w:r>
              <w:rPr>
                <w:rFonts w:eastAsia="Arial" w:cs="Arial"/>
                <w:b/>
              </w:rPr>
              <w:t xml:space="preserve">comparison </w:t>
            </w:r>
            <w:r w:rsidRPr="00326C32">
              <w:rPr>
                <w:rFonts w:eastAsia="Arial" w:cs="Arial"/>
                <w:b/>
              </w:rPr>
              <w:t>to</w:t>
            </w:r>
            <w:r w:rsidR="00762D24">
              <w:rPr>
                <w:rFonts w:eastAsia="Arial" w:cs="Arial"/>
                <w:b/>
              </w:rPr>
              <w:t xml:space="preserve"> national non-eligible pupils </w:t>
            </w:r>
          </w:p>
        </w:tc>
      </w:tr>
      <w:tr w:rsidR="00326C32" w:rsidRPr="00326C32" w14:paraId="2F05E785" w14:textId="77777777" w:rsidTr="00762D24">
        <w:trPr>
          <w:trHeight w:hRule="exact" w:val="762"/>
        </w:trPr>
        <w:tc>
          <w:tcPr>
            <w:tcW w:w="4928" w:type="dxa"/>
            <w:tcMar>
              <w:top w:w="57" w:type="dxa"/>
              <w:bottom w:w="57" w:type="dxa"/>
            </w:tcMar>
          </w:tcPr>
          <w:p w14:paraId="3CA30C92" w14:textId="04488278" w:rsidR="00326C32" w:rsidRPr="00B05C2C" w:rsidRDefault="005D4DC0" w:rsidP="00762D2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Year 6</w:t>
            </w:r>
          </w:p>
        </w:tc>
        <w:tc>
          <w:tcPr>
            <w:tcW w:w="5244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FC5656C" w14:textId="4DD63910" w:rsidR="00783B69" w:rsidRDefault="00941F1B" w:rsidP="0084290A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James’</w:t>
            </w:r>
            <w:r w:rsidR="00762D24">
              <w:rPr>
                <w:rFonts w:cs="Arial"/>
                <w:i/>
              </w:rPr>
              <w:t xml:space="preserve"> disadvantaged </w:t>
            </w:r>
          </w:p>
          <w:p w14:paraId="56261634" w14:textId="72985BBB" w:rsidR="000029BE" w:rsidRPr="00326C32" w:rsidRDefault="00783B69" w:rsidP="000029BE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0029BE">
              <w:rPr>
                <w:rFonts w:cs="Arial"/>
                <w:i/>
              </w:rPr>
              <w:t xml:space="preserve">33 </w:t>
            </w:r>
            <w:r w:rsidR="00762D24">
              <w:rPr>
                <w:rFonts w:cs="Arial"/>
                <w:i/>
              </w:rPr>
              <w:t>pupils</w:t>
            </w:r>
            <w:r>
              <w:rPr>
                <w:rFonts w:cs="Arial"/>
                <w:i/>
              </w:rPr>
              <w:t xml:space="preserve"> eligible for the PP grant)</w:t>
            </w:r>
          </w:p>
        </w:tc>
        <w:tc>
          <w:tcPr>
            <w:tcW w:w="5245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6CDE15E" w14:textId="3FF059EC" w:rsidR="00B17566" w:rsidRDefault="00B17566" w:rsidP="0084290A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</w:t>
            </w:r>
            <w:r w:rsidR="00941F1B">
              <w:rPr>
                <w:rFonts w:cs="Arial"/>
                <w:i/>
              </w:rPr>
              <w:t>ames’</w:t>
            </w:r>
            <w:r>
              <w:rPr>
                <w:rFonts w:cs="Arial"/>
                <w:i/>
              </w:rPr>
              <w:t xml:space="preserve"> Other </w:t>
            </w:r>
          </w:p>
          <w:p w14:paraId="0E2EA894" w14:textId="5A03FDAF" w:rsidR="00326C32" w:rsidRPr="00326C32" w:rsidRDefault="00B17566" w:rsidP="0084290A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0029BE">
              <w:rPr>
                <w:rFonts w:cs="Arial"/>
                <w:i/>
              </w:rPr>
              <w:t xml:space="preserve">17 </w:t>
            </w:r>
            <w:r>
              <w:rPr>
                <w:rFonts w:cs="Arial"/>
                <w:i/>
              </w:rPr>
              <w:t>pupils not eligible for the PP grant)</w:t>
            </w:r>
          </w:p>
        </w:tc>
      </w:tr>
      <w:tr w:rsidR="00052AEB" w:rsidRPr="00326C32" w14:paraId="634C52E7" w14:textId="77777777" w:rsidTr="00B05C2C">
        <w:trPr>
          <w:trHeight w:hRule="exact" w:val="685"/>
        </w:trPr>
        <w:tc>
          <w:tcPr>
            <w:tcW w:w="4928" w:type="dxa"/>
            <w:tcMar>
              <w:top w:w="57" w:type="dxa"/>
              <w:bottom w:w="57" w:type="dxa"/>
            </w:tcMar>
            <w:vAlign w:val="bottom"/>
          </w:tcPr>
          <w:p w14:paraId="108FA42C" w14:textId="57BDC268" w:rsidR="00052AEB" w:rsidRPr="00B05C2C" w:rsidRDefault="00052AEB" w:rsidP="00E1507B">
            <w:pPr>
              <w:spacing w:line="276" w:lineRule="auto"/>
              <w:ind w:right="-23"/>
              <w:rPr>
                <w:rFonts w:eastAsia="Arial" w:cs="Arial"/>
                <w:b/>
              </w:rPr>
            </w:pPr>
          </w:p>
        </w:tc>
        <w:tc>
          <w:tcPr>
            <w:tcW w:w="17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61A1DCD" w14:textId="287B5CCE" w:rsidR="00052AEB" w:rsidRPr="002C53AF" w:rsidRDefault="00052AEB" w:rsidP="000C6B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Reading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2F62C52" w14:textId="5E1C3FA6" w:rsidR="00052AEB" w:rsidRPr="002C53AF" w:rsidRDefault="00052AEB" w:rsidP="000C6B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DB44FCB" w14:textId="28263DC4" w:rsidR="00052AEB" w:rsidRPr="002C53AF" w:rsidRDefault="00052AEB" w:rsidP="000C6B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Maths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5C080105" w14:textId="55DD66C4" w:rsidR="00052AEB" w:rsidRPr="002C53AF" w:rsidRDefault="00052AEB" w:rsidP="000C6B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Reading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A1C0844" w14:textId="41B5FA82" w:rsidR="00052AEB" w:rsidRPr="002C53AF" w:rsidRDefault="00052AEB" w:rsidP="000C6B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Writing 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9C20526" w14:textId="7D5829D6" w:rsidR="00052AEB" w:rsidRPr="002C53AF" w:rsidRDefault="00052AEB" w:rsidP="000C6B0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Maths </w:t>
            </w:r>
          </w:p>
        </w:tc>
      </w:tr>
      <w:tr w:rsidR="00052AEB" w:rsidRPr="00326C32" w14:paraId="6C650D6D" w14:textId="77777777" w:rsidTr="000029BE">
        <w:trPr>
          <w:trHeight w:hRule="exact" w:val="391"/>
        </w:trPr>
        <w:tc>
          <w:tcPr>
            <w:tcW w:w="4928" w:type="dxa"/>
            <w:tcMar>
              <w:top w:w="57" w:type="dxa"/>
              <w:bottom w:w="57" w:type="dxa"/>
            </w:tcMar>
            <w:vAlign w:val="bottom"/>
          </w:tcPr>
          <w:p w14:paraId="0215486E" w14:textId="53E84D99" w:rsidR="00052AEB" w:rsidRPr="00326C32" w:rsidRDefault="00052AEB" w:rsidP="00E1507B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Low prior attaining group</w:t>
            </w:r>
          </w:p>
        </w:tc>
        <w:tc>
          <w:tcPr>
            <w:tcW w:w="17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7828950" w14:textId="6627FA03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-0.08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5DA7DDB" w14:textId="7BAD1B6D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-0.06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F26E2B6" w14:textId="5F2CBA4D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-2.4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F95CB50" w14:textId="1389D35B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70A592AD" w14:textId="4C95EBFA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3.5</w:t>
            </w:r>
          </w:p>
        </w:tc>
        <w:tc>
          <w:tcPr>
            <w:tcW w:w="1749" w:type="dxa"/>
            <w:shd w:val="clear" w:color="auto" w:fill="92D050"/>
            <w:vAlign w:val="center"/>
          </w:tcPr>
          <w:p w14:paraId="5A4A3877" w14:textId="6A1883B9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2.8</w:t>
            </w:r>
          </w:p>
        </w:tc>
      </w:tr>
      <w:tr w:rsidR="00052AEB" w:rsidRPr="00326C32" w14:paraId="2F876586" w14:textId="77777777" w:rsidTr="002D18A0">
        <w:trPr>
          <w:trHeight w:hRule="exact" w:val="399"/>
        </w:trPr>
        <w:tc>
          <w:tcPr>
            <w:tcW w:w="4928" w:type="dxa"/>
            <w:tcMar>
              <w:top w:w="57" w:type="dxa"/>
              <w:bottom w:w="57" w:type="dxa"/>
            </w:tcMar>
            <w:vAlign w:val="bottom"/>
          </w:tcPr>
          <w:p w14:paraId="7BC10834" w14:textId="11F5D10F" w:rsidR="00052AEB" w:rsidRPr="00326C32" w:rsidRDefault="00052AEB" w:rsidP="00E1507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Middle prior attaining group</w:t>
            </w:r>
          </w:p>
        </w:tc>
        <w:tc>
          <w:tcPr>
            <w:tcW w:w="17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A48DDC" w14:textId="26AF4452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-2.8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CE3365F" w14:textId="3B021E22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-2.7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726D917F" w14:textId="51F40D57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-4.9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2BC2634" w14:textId="297E0B19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-0.2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124B3F" w14:textId="2E8AB056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0.4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C17FE66" w14:textId="498248FE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-0.5</w:t>
            </w:r>
          </w:p>
        </w:tc>
      </w:tr>
      <w:tr w:rsidR="00052AEB" w:rsidRPr="00326C32" w14:paraId="45EF3920" w14:textId="77777777" w:rsidTr="000029BE">
        <w:trPr>
          <w:trHeight w:hRule="exact" w:val="393"/>
        </w:trPr>
        <w:tc>
          <w:tcPr>
            <w:tcW w:w="4928" w:type="dxa"/>
            <w:tcMar>
              <w:top w:w="57" w:type="dxa"/>
              <w:bottom w:w="57" w:type="dxa"/>
            </w:tcMar>
            <w:vAlign w:val="bottom"/>
          </w:tcPr>
          <w:p w14:paraId="784E90AE" w14:textId="1E61E433" w:rsidR="00052AEB" w:rsidRPr="00326C32" w:rsidRDefault="00052AEB" w:rsidP="00E1507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High prior attaining group </w:t>
            </w:r>
          </w:p>
        </w:tc>
        <w:tc>
          <w:tcPr>
            <w:tcW w:w="17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D787FA" w14:textId="2CDCC19A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-2.4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56884FD2" w14:textId="5B4AC9CE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3.4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3F9021D7" w14:textId="1AB095A1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-2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0D43984" w14:textId="637C8B08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-0.3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28AF58E4" w14:textId="199B96E8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3.9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2A1A16F3" w14:textId="26371616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-1.9</w:t>
            </w:r>
          </w:p>
        </w:tc>
      </w:tr>
      <w:tr w:rsidR="00052AEB" w:rsidRPr="00326C32" w14:paraId="03D233FE" w14:textId="77777777" w:rsidTr="000029BE">
        <w:trPr>
          <w:trHeight w:hRule="exact" w:val="393"/>
        </w:trPr>
        <w:tc>
          <w:tcPr>
            <w:tcW w:w="4928" w:type="dxa"/>
            <w:tcMar>
              <w:top w:w="57" w:type="dxa"/>
              <w:bottom w:w="57" w:type="dxa"/>
            </w:tcMar>
            <w:vAlign w:val="bottom"/>
          </w:tcPr>
          <w:p w14:paraId="64F12461" w14:textId="32214EDF" w:rsidR="00052AEB" w:rsidRDefault="00052AEB" w:rsidP="00E1507B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Overall </w:t>
            </w:r>
          </w:p>
        </w:tc>
        <w:tc>
          <w:tcPr>
            <w:tcW w:w="174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0D870A" w14:textId="2BFBF32F" w:rsidR="00052AEB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-2.1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C025065" w14:textId="6E05E854" w:rsidR="00052AEB" w:rsidRPr="002C53AF" w:rsidRDefault="000029BE" w:rsidP="00C1653C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-1.5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6FD2EA49" w14:textId="0368FEDC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-4.1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0972EA2F" w14:textId="3BEEA0A7" w:rsidR="00052AEB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1.2</w:t>
            </w:r>
          </w:p>
        </w:tc>
        <w:tc>
          <w:tcPr>
            <w:tcW w:w="1748" w:type="dxa"/>
            <w:shd w:val="clear" w:color="auto" w:fill="92D050"/>
            <w:vAlign w:val="center"/>
          </w:tcPr>
          <w:p w14:paraId="188EC3B3" w14:textId="00F8F696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1.9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37F66D77" w14:textId="2A570D5B" w:rsidR="00052AEB" w:rsidRPr="002C53AF" w:rsidRDefault="000029BE" w:rsidP="000C6B0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0.1</w:t>
            </w:r>
          </w:p>
        </w:tc>
      </w:tr>
      <w:tr w:rsidR="00B05C2C" w:rsidRPr="00326C32" w14:paraId="184D7600" w14:textId="77777777" w:rsidTr="00417209">
        <w:trPr>
          <w:trHeight w:hRule="exact" w:val="976"/>
        </w:trPr>
        <w:tc>
          <w:tcPr>
            <w:tcW w:w="15417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877EDFE" w14:textId="4CECFB53" w:rsidR="00B17566" w:rsidRDefault="004D57ED" w:rsidP="004D57E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The</w:t>
            </w:r>
            <w:r w:rsidR="00B05C2C" w:rsidRPr="004D57ED">
              <w:rPr>
                <w:rFonts w:eastAsia="Arial" w:cs="Arial"/>
                <w:i/>
                <w:sz w:val="18"/>
                <w:szCs w:val="18"/>
              </w:rPr>
              <w:t xml:space="preserve"> standard progress score for all pupils nationally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 is 0.0</w:t>
            </w:r>
            <w:r w:rsidRPr="004D57ED">
              <w:rPr>
                <w:rFonts w:eastAsia="Arial" w:cs="Arial"/>
                <w:i/>
                <w:sz w:val="18"/>
                <w:szCs w:val="18"/>
              </w:rPr>
              <w:t xml:space="preserve">. </w:t>
            </w:r>
            <w:r w:rsidR="00417209" w:rsidRPr="004D57ED">
              <w:rPr>
                <w:rFonts w:cs="Arial"/>
                <w:i/>
                <w:sz w:val="18"/>
                <w:szCs w:val="18"/>
              </w:rPr>
              <w:t>Green shading indic</w:t>
            </w:r>
            <w:r w:rsidR="00941F1B" w:rsidRPr="004D57ED">
              <w:rPr>
                <w:rFonts w:cs="Arial"/>
                <w:i/>
                <w:sz w:val="18"/>
                <w:szCs w:val="18"/>
              </w:rPr>
              <w:t>ates where progress at St James</w:t>
            </w:r>
            <w:r w:rsidR="00417209" w:rsidRPr="004D57ED">
              <w:rPr>
                <w:rFonts w:cs="Arial"/>
                <w:i/>
                <w:sz w:val="18"/>
                <w:szCs w:val="18"/>
              </w:rPr>
              <w:t xml:space="preserve"> was higher than national</w:t>
            </w:r>
            <w:r w:rsidRPr="004D57ED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14:paraId="3A727732" w14:textId="0667048F" w:rsidR="004D57ED" w:rsidRPr="004D57ED" w:rsidRDefault="004D57ED" w:rsidP="004D57ED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Summary - </w:t>
            </w:r>
            <w:r>
              <w:rPr>
                <w:rFonts w:cs="Arial"/>
              </w:rPr>
              <w:t>St James’</w:t>
            </w:r>
            <w:r w:rsidR="007A5B9B">
              <w:rPr>
                <w:rFonts w:cs="Arial"/>
              </w:rPr>
              <w:t xml:space="preserve"> disadvantaged pupils made less progress than other pupils at St James. </w:t>
            </w:r>
          </w:p>
          <w:p w14:paraId="1E2B4853" w14:textId="77777777" w:rsidR="004D57ED" w:rsidRPr="004D57ED" w:rsidRDefault="004D57ED" w:rsidP="004D57ED">
            <w:pPr>
              <w:rPr>
                <w:rFonts w:cs="Arial"/>
                <w:i/>
                <w:sz w:val="22"/>
              </w:rPr>
            </w:pPr>
          </w:p>
          <w:p w14:paraId="194C8ADD" w14:textId="77777777" w:rsidR="00B17566" w:rsidRDefault="00B17566" w:rsidP="00417209">
            <w:pPr>
              <w:rPr>
                <w:rFonts w:cs="Arial"/>
                <w:i/>
                <w:sz w:val="22"/>
              </w:rPr>
            </w:pPr>
          </w:p>
          <w:p w14:paraId="4E546FAF" w14:textId="30FD60F5" w:rsidR="00B17566" w:rsidRPr="00417209" w:rsidRDefault="00B17566" w:rsidP="00417209">
            <w:pPr>
              <w:rPr>
                <w:rFonts w:cs="Arial"/>
                <w:b/>
                <w:bCs/>
              </w:rPr>
            </w:pPr>
          </w:p>
        </w:tc>
      </w:tr>
      <w:tr w:rsidR="00B05C2C" w:rsidRPr="00326C32" w14:paraId="2827D99B" w14:textId="77777777" w:rsidTr="00B05C2C">
        <w:trPr>
          <w:trHeight w:hRule="exact" w:val="393"/>
        </w:trPr>
        <w:tc>
          <w:tcPr>
            <w:tcW w:w="15417" w:type="dxa"/>
            <w:gridSpan w:val="7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bottom"/>
          </w:tcPr>
          <w:p w14:paraId="622B09E7" w14:textId="77777777" w:rsidR="00B05C2C" w:rsidRPr="00B05C2C" w:rsidRDefault="00B05C2C" w:rsidP="00B05C2C">
            <w:pPr>
              <w:rPr>
                <w:rFonts w:eastAsia="Arial" w:cs="Arial"/>
                <w:i/>
              </w:rPr>
            </w:pPr>
          </w:p>
        </w:tc>
      </w:tr>
    </w:tbl>
    <w:p w14:paraId="4CFA66BA" w14:textId="77777777" w:rsidR="00B05C2C" w:rsidRDefault="00B05C2C"/>
    <w:p w14:paraId="13BC68FA" w14:textId="080638F0" w:rsidR="005D4DC0" w:rsidRDefault="005D4DC0"/>
    <w:p w14:paraId="3E14022E" w14:textId="77777777" w:rsidR="005D4DC0" w:rsidRDefault="005D4DC0"/>
    <w:p w14:paraId="10D567C9" w14:textId="77777777" w:rsidR="00B05C2C" w:rsidRDefault="00B05C2C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403"/>
        <w:gridCol w:w="1403"/>
        <w:gridCol w:w="1403"/>
        <w:gridCol w:w="1404"/>
        <w:gridCol w:w="1403"/>
        <w:gridCol w:w="1403"/>
        <w:gridCol w:w="1404"/>
        <w:gridCol w:w="1403"/>
        <w:gridCol w:w="1403"/>
        <w:gridCol w:w="1404"/>
      </w:tblGrid>
      <w:tr w:rsidR="000A2D5E" w:rsidRPr="00326C32" w14:paraId="7405253D" w14:textId="77777777" w:rsidTr="005D4DC0">
        <w:trPr>
          <w:trHeight w:hRule="exact" w:val="621"/>
        </w:trPr>
        <w:tc>
          <w:tcPr>
            <w:tcW w:w="15417" w:type="dxa"/>
            <w:gridSpan w:val="11"/>
            <w:shd w:val="clear" w:color="auto" w:fill="CFDCE3"/>
            <w:tcMar>
              <w:top w:w="57" w:type="dxa"/>
              <w:bottom w:w="57" w:type="dxa"/>
            </w:tcMar>
          </w:tcPr>
          <w:p w14:paraId="27E414F8" w14:textId="19399A51" w:rsidR="000A2D5E" w:rsidRPr="00800BFC" w:rsidRDefault="008B3D7C" w:rsidP="00F43E4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lastRenderedPageBreak/>
              <w:t>2018</w:t>
            </w:r>
            <w:r w:rsidR="000A2D5E" w:rsidRPr="00800BFC">
              <w:rPr>
                <w:rFonts w:eastAsia="Arial" w:cs="Arial"/>
                <w:b/>
              </w:rPr>
              <w:t xml:space="preserve"> </w:t>
            </w:r>
            <w:r w:rsidR="005D4DC0">
              <w:rPr>
                <w:rFonts w:eastAsia="Arial" w:cs="Arial"/>
                <w:b/>
              </w:rPr>
              <w:t>Attainment of eligible pupils in comparison to non-eligible pupils</w:t>
            </w:r>
            <w:r w:rsidR="00BF72D1">
              <w:rPr>
                <w:rFonts w:eastAsia="Arial" w:cs="Arial"/>
                <w:b/>
              </w:rPr>
              <w:t xml:space="preserve"> – end of key stage 2</w:t>
            </w:r>
          </w:p>
        </w:tc>
      </w:tr>
      <w:tr w:rsidR="000A2D5E" w:rsidRPr="00326C32" w14:paraId="4CDE5FC9" w14:textId="77777777" w:rsidTr="005D4DC0">
        <w:trPr>
          <w:trHeight w:hRule="exact" w:val="762"/>
        </w:trPr>
        <w:tc>
          <w:tcPr>
            <w:tcW w:w="1384" w:type="dxa"/>
            <w:tcMar>
              <w:top w:w="57" w:type="dxa"/>
              <w:bottom w:w="57" w:type="dxa"/>
            </w:tcMar>
          </w:tcPr>
          <w:p w14:paraId="04728961" w14:textId="0917F3E7" w:rsidR="000A2D5E" w:rsidRPr="00B05C2C" w:rsidRDefault="005D4DC0" w:rsidP="00BF1CC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Year 6</w:t>
            </w:r>
          </w:p>
        </w:tc>
        <w:tc>
          <w:tcPr>
            <w:tcW w:w="7016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90CF73A" w14:textId="0318AF1E" w:rsidR="000A2D5E" w:rsidRDefault="00941F1B" w:rsidP="00BF1CCF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James’</w:t>
            </w:r>
            <w:r w:rsidR="000A2D5E">
              <w:rPr>
                <w:rFonts w:cs="Arial"/>
                <w:i/>
              </w:rPr>
              <w:t xml:space="preserve"> disadvantaged </w:t>
            </w:r>
          </w:p>
          <w:p w14:paraId="41752D42" w14:textId="68A81AD9" w:rsidR="00F43E4B" w:rsidRPr="00326C32" w:rsidRDefault="000A2D5E" w:rsidP="00F43E4B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0029BE">
              <w:rPr>
                <w:rFonts w:cs="Arial"/>
                <w:i/>
              </w:rPr>
              <w:t xml:space="preserve">33 </w:t>
            </w:r>
            <w:r>
              <w:rPr>
                <w:rFonts w:cs="Arial"/>
                <w:i/>
              </w:rPr>
              <w:t>pupils eligible for the PP grant</w:t>
            </w:r>
            <w:r w:rsidR="00F43E4B">
              <w:rPr>
                <w:rFonts w:cs="Arial"/>
                <w:i/>
              </w:rPr>
              <w:t>)</w:t>
            </w:r>
          </w:p>
        </w:tc>
        <w:tc>
          <w:tcPr>
            <w:tcW w:w="7017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41AD8EB" w14:textId="77777777" w:rsidR="000029BE" w:rsidRDefault="000029BE" w:rsidP="00BF1CCF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 other</w:t>
            </w:r>
          </w:p>
          <w:p w14:paraId="475617DD" w14:textId="26482544" w:rsidR="000A2D5E" w:rsidRPr="00326C32" w:rsidRDefault="000029BE" w:rsidP="00BF1CCF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(17 </w:t>
            </w:r>
            <w:r w:rsidR="000A2D5E">
              <w:rPr>
                <w:rFonts w:cs="Arial"/>
                <w:i/>
              </w:rPr>
              <w:t>Pupils in school not eligible for the PP grant</w:t>
            </w:r>
            <w:r>
              <w:rPr>
                <w:rFonts w:cs="Arial"/>
                <w:i/>
              </w:rPr>
              <w:t>)</w:t>
            </w:r>
          </w:p>
        </w:tc>
      </w:tr>
      <w:tr w:rsidR="005D4DC0" w:rsidRPr="00326C32" w14:paraId="3773BF62" w14:textId="77777777" w:rsidTr="005D4DC0">
        <w:trPr>
          <w:trHeight w:hRule="exact" w:val="685"/>
        </w:trPr>
        <w:tc>
          <w:tcPr>
            <w:tcW w:w="1384" w:type="dxa"/>
            <w:tcMar>
              <w:top w:w="57" w:type="dxa"/>
              <w:bottom w:w="57" w:type="dxa"/>
            </w:tcMar>
            <w:vAlign w:val="bottom"/>
          </w:tcPr>
          <w:p w14:paraId="0A0D8E72" w14:textId="650059EE" w:rsidR="005D4DC0" w:rsidRPr="00B05C2C" w:rsidRDefault="005D4DC0" w:rsidP="005D4DC0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KS2 </w:t>
            </w:r>
          </w:p>
        </w:tc>
        <w:tc>
          <w:tcPr>
            <w:tcW w:w="14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51E5885" w14:textId="77777777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Reading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6EE2EB4" w14:textId="77777777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36CD7E" w14:textId="0D21BEC7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A56D6E" w14:textId="42A3674F" w:rsidR="005D4DC0" w:rsidRPr="002C53AF" w:rsidRDefault="005D4DC0" w:rsidP="005D4DC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EGSP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76392F" w14:textId="11BF21FC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Combined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7C94D2" w14:textId="310D2CE7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Reading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EBC643" w14:textId="1398BCAF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9C4E8B" w14:textId="29D910BB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7DEBC2" w14:textId="0763A7C2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EGSP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2D070A" w14:textId="15277E71" w:rsidR="005D4DC0" w:rsidRPr="002C53AF" w:rsidRDefault="005D4DC0" w:rsidP="00BF1CC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Combined </w:t>
            </w:r>
          </w:p>
        </w:tc>
      </w:tr>
      <w:tr w:rsidR="005D4DC0" w:rsidRPr="00326C32" w14:paraId="67F15122" w14:textId="77777777" w:rsidTr="005D4DC0">
        <w:trPr>
          <w:trHeight w:hRule="exact" w:val="391"/>
        </w:trPr>
        <w:tc>
          <w:tcPr>
            <w:tcW w:w="1384" w:type="dxa"/>
            <w:tcMar>
              <w:top w:w="57" w:type="dxa"/>
              <w:bottom w:w="57" w:type="dxa"/>
            </w:tcMar>
            <w:vAlign w:val="bottom"/>
          </w:tcPr>
          <w:p w14:paraId="6E81E7A5" w14:textId="6206EDA0" w:rsidR="005D4DC0" w:rsidRPr="00326C32" w:rsidRDefault="005D4DC0" w:rsidP="00BF1CCF">
            <w:pPr>
              <w:spacing w:line="276" w:lineRule="auto"/>
              <w:ind w:right="-23"/>
              <w:rPr>
                <w:rFonts w:eastAsia="Arial" w:cs="Arial"/>
                <w:b/>
              </w:rPr>
            </w:pPr>
          </w:p>
        </w:tc>
        <w:tc>
          <w:tcPr>
            <w:tcW w:w="140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A09078" w14:textId="60AB0B5D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457C92" w14:textId="1CDFDFEE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2D2F1E3" w14:textId="539E6B93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C3FE6F" w14:textId="6A8C65D1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963DF9" w14:textId="7F91D67E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21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D44F40" w14:textId="18DE95CA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755B4" w14:textId="2E251D28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77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83FC23D" w14:textId="60DC58E7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62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0B94EC" w14:textId="272AF38C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E2B973" w14:textId="004B79CD" w:rsidR="005D4DC0" w:rsidRPr="002C53AF" w:rsidRDefault="000029BE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54</w:t>
            </w:r>
          </w:p>
        </w:tc>
      </w:tr>
      <w:tr w:rsidR="00F43E4B" w:rsidRPr="00326C32" w14:paraId="3E401A34" w14:textId="77777777" w:rsidTr="00D107F6">
        <w:trPr>
          <w:trHeight w:hRule="exact" w:val="399"/>
        </w:trPr>
        <w:tc>
          <w:tcPr>
            <w:tcW w:w="1384" w:type="dxa"/>
            <w:tcMar>
              <w:top w:w="57" w:type="dxa"/>
              <w:bottom w:w="57" w:type="dxa"/>
            </w:tcMar>
            <w:vAlign w:val="bottom"/>
          </w:tcPr>
          <w:p w14:paraId="2FC275D2" w14:textId="3ED6EE03" w:rsidR="00F43E4B" w:rsidRPr="00326C32" w:rsidRDefault="00F43E4B" w:rsidP="00BF1CCF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7016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4C0FCCB" w14:textId="49F7535D" w:rsidR="00F43E4B" w:rsidRPr="002C53AF" w:rsidRDefault="00F43E4B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% achieving the expected level or more</w:t>
            </w:r>
          </w:p>
        </w:tc>
        <w:tc>
          <w:tcPr>
            <w:tcW w:w="7017" w:type="dxa"/>
            <w:gridSpan w:val="5"/>
            <w:shd w:val="clear" w:color="auto" w:fill="auto"/>
            <w:vAlign w:val="center"/>
          </w:tcPr>
          <w:p w14:paraId="7615D2AC" w14:textId="4ECB476B" w:rsidR="00F43E4B" w:rsidRPr="002C53AF" w:rsidRDefault="00F43E4B" w:rsidP="00BF1CCF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% achieving the expected level or more</w:t>
            </w:r>
          </w:p>
        </w:tc>
      </w:tr>
      <w:tr w:rsidR="00F43E4B" w:rsidRPr="00326C32" w14:paraId="75F6B376" w14:textId="77777777" w:rsidTr="00BF72D1">
        <w:trPr>
          <w:trHeight w:val="907"/>
        </w:trPr>
        <w:tc>
          <w:tcPr>
            <w:tcW w:w="15417" w:type="dxa"/>
            <w:gridSpan w:val="11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633CFDD" w14:textId="10EB0412" w:rsidR="008B3D7C" w:rsidRDefault="008B3D7C" w:rsidP="008B3D7C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National comparisons</w:t>
            </w:r>
            <w:proofErr w:type="gramStart"/>
            <w:r>
              <w:rPr>
                <w:rFonts w:eastAsia="Arial" w:cs="Arial"/>
                <w:i/>
                <w:sz w:val="18"/>
                <w:szCs w:val="18"/>
              </w:rPr>
              <w:t>:-</w:t>
            </w:r>
            <w:proofErr w:type="gramEnd"/>
            <w:r>
              <w:rPr>
                <w:rFonts w:eastAsia="Arial" w:cs="Arial"/>
                <w:i/>
                <w:sz w:val="18"/>
                <w:szCs w:val="18"/>
              </w:rPr>
              <w:t xml:space="preserve"> 75% reading / 78% writing / </w:t>
            </w:r>
            <w:r w:rsidR="00D250EA">
              <w:rPr>
                <w:rFonts w:eastAsia="Arial" w:cs="Arial"/>
                <w:i/>
                <w:sz w:val="18"/>
                <w:szCs w:val="18"/>
              </w:rPr>
              <w:t xml:space="preserve">76% 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 maths / 78% EGSP / 64% combined </w:t>
            </w:r>
            <w:r w:rsidRPr="004D57ED">
              <w:rPr>
                <w:rFonts w:cs="Arial"/>
                <w:i/>
                <w:sz w:val="18"/>
                <w:szCs w:val="18"/>
              </w:rPr>
              <w:t xml:space="preserve">. </w:t>
            </w:r>
          </w:p>
          <w:p w14:paraId="6F332FD0" w14:textId="6C75CA34" w:rsidR="007A5B9B" w:rsidRPr="004D57ED" w:rsidRDefault="007A5B9B" w:rsidP="007A5B9B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Summary – </w:t>
            </w:r>
            <w:r w:rsidR="00752FF7" w:rsidRPr="00752FF7">
              <w:rPr>
                <w:rFonts w:cs="Arial"/>
              </w:rPr>
              <w:t>The % of St</w:t>
            </w:r>
            <w:r w:rsidR="00752FF7">
              <w:rPr>
                <w:rFonts w:cs="Arial"/>
              </w:rPr>
              <w:t xml:space="preserve"> James’ disadvantaged pupils achieving the expected standard in the 2018 end of key stage tests was lower than for other pupils at St James. </w:t>
            </w:r>
          </w:p>
          <w:p w14:paraId="3806BFBE" w14:textId="602E6706" w:rsidR="00F43E4B" w:rsidRPr="00E96154" w:rsidRDefault="00F43E4B" w:rsidP="00F43E4B"/>
        </w:tc>
      </w:tr>
    </w:tbl>
    <w:p w14:paraId="5A7F6BDE" w14:textId="27D0F71B" w:rsidR="00C67394" w:rsidRDefault="00C67394" w:rsidP="00B17566">
      <w:pPr>
        <w:spacing w:after="200" w:line="276" w:lineRule="auto"/>
        <w:rPr>
          <w:rFonts w:cs="Arial"/>
        </w:rPr>
      </w:pPr>
    </w:p>
    <w:p w14:paraId="65DCBD5D" w14:textId="77777777" w:rsidR="00BF72D1" w:rsidRDefault="00BF72D1" w:rsidP="00B17566">
      <w:pPr>
        <w:spacing w:after="200" w:line="276" w:lineRule="auto"/>
        <w:rPr>
          <w:rFonts w:cs="Arial"/>
        </w:rPr>
      </w:pPr>
    </w:p>
    <w:p w14:paraId="7511A19F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407251DD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7CBB63EC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3BF5505E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4D18F4E6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5177F1B9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01811BB4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51108588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01DF94A4" w14:textId="77777777" w:rsidR="00A20049" w:rsidRDefault="00A20049" w:rsidP="00B17566">
      <w:pPr>
        <w:spacing w:after="200" w:line="276" w:lineRule="auto"/>
        <w:rPr>
          <w:rFonts w:cs="Arial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754"/>
        <w:gridCol w:w="1754"/>
        <w:gridCol w:w="1754"/>
        <w:gridCol w:w="1754"/>
        <w:gridCol w:w="1754"/>
        <w:gridCol w:w="1754"/>
        <w:gridCol w:w="1754"/>
        <w:gridCol w:w="1755"/>
      </w:tblGrid>
      <w:tr w:rsidR="00A20049" w:rsidRPr="00326C32" w14:paraId="6A81A7E3" w14:textId="77777777" w:rsidTr="002617D1">
        <w:trPr>
          <w:trHeight w:hRule="exact" w:val="621"/>
        </w:trPr>
        <w:tc>
          <w:tcPr>
            <w:tcW w:w="15417" w:type="dxa"/>
            <w:gridSpan w:val="9"/>
            <w:shd w:val="clear" w:color="auto" w:fill="CFDCE3"/>
            <w:tcMar>
              <w:top w:w="57" w:type="dxa"/>
              <w:bottom w:w="57" w:type="dxa"/>
            </w:tcMar>
          </w:tcPr>
          <w:p w14:paraId="776B4D4E" w14:textId="23323F7E" w:rsidR="00A20049" w:rsidRPr="00A20049" w:rsidRDefault="00A20049" w:rsidP="00A2004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Arial"/>
                <w:b/>
              </w:rPr>
            </w:pPr>
            <w:r w:rsidRPr="00A20049">
              <w:rPr>
                <w:rFonts w:eastAsia="Arial" w:cs="Arial"/>
                <w:b/>
              </w:rPr>
              <w:t>2018 Attainment of eligible pupils in comparison to non-eligible pupils – end of key stage 1</w:t>
            </w:r>
          </w:p>
        </w:tc>
      </w:tr>
      <w:tr w:rsidR="00A20049" w:rsidRPr="00326C32" w14:paraId="2D8C763B" w14:textId="77777777" w:rsidTr="002617D1">
        <w:trPr>
          <w:trHeight w:hRule="exact" w:val="762"/>
        </w:trPr>
        <w:tc>
          <w:tcPr>
            <w:tcW w:w="1384" w:type="dxa"/>
            <w:tcMar>
              <w:top w:w="57" w:type="dxa"/>
              <w:bottom w:w="57" w:type="dxa"/>
            </w:tcMar>
          </w:tcPr>
          <w:p w14:paraId="0B12A7BA" w14:textId="0A68C406" w:rsidR="00A20049" w:rsidRPr="00B05C2C" w:rsidRDefault="00A20049" w:rsidP="002617D1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Year </w:t>
            </w:r>
            <w:r w:rsidR="00503E32">
              <w:rPr>
                <w:rFonts w:cs="Arial"/>
                <w:i/>
              </w:rPr>
              <w:t>2</w:t>
            </w:r>
          </w:p>
        </w:tc>
        <w:tc>
          <w:tcPr>
            <w:tcW w:w="7016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5B95280" w14:textId="77777777" w:rsidR="00A20049" w:rsidRDefault="00A20049" w:rsidP="002617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St James’ disadvantaged </w:t>
            </w:r>
          </w:p>
          <w:p w14:paraId="119EE0BA" w14:textId="374EFA59" w:rsidR="00A20049" w:rsidRPr="00326C32" w:rsidRDefault="00A20049" w:rsidP="002617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</w:t>
            </w:r>
            <w:r w:rsidR="00503E32">
              <w:rPr>
                <w:rFonts w:cs="Arial"/>
                <w:i/>
              </w:rPr>
              <w:t>24</w:t>
            </w:r>
            <w:r>
              <w:rPr>
                <w:rFonts w:cs="Arial"/>
                <w:i/>
              </w:rPr>
              <w:t xml:space="preserve"> pupils eligible for the PP grant)</w:t>
            </w:r>
          </w:p>
        </w:tc>
        <w:tc>
          <w:tcPr>
            <w:tcW w:w="7017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17200C73" w14:textId="77777777" w:rsidR="00A20049" w:rsidRDefault="00A20049" w:rsidP="002617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 other</w:t>
            </w:r>
          </w:p>
          <w:p w14:paraId="438A5931" w14:textId="16067DC8" w:rsidR="00A20049" w:rsidRPr="00326C32" w:rsidRDefault="00503E32" w:rsidP="002617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(22</w:t>
            </w:r>
            <w:r w:rsidR="00A20049">
              <w:rPr>
                <w:rFonts w:cs="Arial"/>
                <w:i/>
              </w:rPr>
              <w:t xml:space="preserve"> Pupils in school not eligible for the PP grant)</w:t>
            </w:r>
          </w:p>
        </w:tc>
      </w:tr>
      <w:tr w:rsidR="00A20049" w:rsidRPr="00326C32" w14:paraId="6D11D625" w14:textId="77777777" w:rsidTr="00A20049">
        <w:trPr>
          <w:trHeight w:hRule="exact" w:val="685"/>
        </w:trPr>
        <w:tc>
          <w:tcPr>
            <w:tcW w:w="1384" w:type="dxa"/>
            <w:tcMar>
              <w:top w:w="57" w:type="dxa"/>
              <w:bottom w:w="57" w:type="dxa"/>
            </w:tcMar>
            <w:vAlign w:val="bottom"/>
          </w:tcPr>
          <w:p w14:paraId="00A08F94" w14:textId="77777777" w:rsidR="00A20049" w:rsidRPr="00B05C2C" w:rsidRDefault="00A20049" w:rsidP="002617D1">
            <w:pPr>
              <w:spacing w:line="276" w:lineRule="auto"/>
              <w:ind w:right="-23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KS2 </w:t>
            </w:r>
          </w:p>
        </w:tc>
        <w:tc>
          <w:tcPr>
            <w:tcW w:w="17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AB0C196" w14:textId="7777777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Reading 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9FF6066" w14:textId="7777777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5220448" w14:textId="7777777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Maths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39C1AB7" w14:textId="5D9597C0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Combined 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6B9C8F4" w14:textId="7777777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Reading 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05F16C0" w14:textId="7777777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Writing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AF8A2FC" w14:textId="7777777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Maths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C14C4A8" w14:textId="2CFC78B7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Combined</w:t>
            </w:r>
          </w:p>
          <w:p w14:paraId="49D78B8F" w14:textId="415F322D" w:rsidR="00A20049" w:rsidRPr="002C53AF" w:rsidRDefault="00A20049" w:rsidP="002617D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Combined </w:t>
            </w:r>
          </w:p>
        </w:tc>
      </w:tr>
      <w:tr w:rsidR="00A20049" w:rsidRPr="00326C32" w14:paraId="56B3E037" w14:textId="77777777" w:rsidTr="00A20049">
        <w:trPr>
          <w:trHeight w:hRule="exact" w:val="391"/>
        </w:trPr>
        <w:tc>
          <w:tcPr>
            <w:tcW w:w="1384" w:type="dxa"/>
            <w:tcMar>
              <w:top w:w="57" w:type="dxa"/>
              <w:bottom w:w="57" w:type="dxa"/>
            </w:tcMar>
            <w:vAlign w:val="bottom"/>
          </w:tcPr>
          <w:p w14:paraId="60514A8B" w14:textId="77777777" w:rsidR="00A20049" w:rsidRPr="00326C32" w:rsidRDefault="00A20049" w:rsidP="002617D1">
            <w:pPr>
              <w:spacing w:line="276" w:lineRule="auto"/>
              <w:ind w:right="-23"/>
              <w:rPr>
                <w:rFonts w:eastAsia="Arial" w:cs="Arial"/>
                <w:b/>
              </w:rPr>
            </w:pPr>
          </w:p>
        </w:tc>
        <w:tc>
          <w:tcPr>
            <w:tcW w:w="175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9A58F23" w14:textId="6CAFD27A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54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4F7106FC" w14:textId="302A95E5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42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3E25C026" w14:textId="6CC54A88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54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9444902" w14:textId="67C9232A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33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BB18E1E" w14:textId="2A56E17E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55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5A5FE2D" w14:textId="62157371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C14BFC5" w14:textId="6BFA99A1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C6480F4" w14:textId="07E49EB1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41</w:t>
            </w:r>
          </w:p>
        </w:tc>
      </w:tr>
      <w:tr w:rsidR="00A20049" w:rsidRPr="00326C32" w14:paraId="555AF890" w14:textId="77777777" w:rsidTr="002617D1">
        <w:trPr>
          <w:trHeight w:hRule="exact" w:val="399"/>
        </w:trPr>
        <w:tc>
          <w:tcPr>
            <w:tcW w:w="1384" w:type="dxa"/>
            <w:tcMar>
              <w:top w:w="57" w:type="dxa"/>
              <w:bottom w:w="57" w:type="dxa"/>
            </w:tcMar>
            <w:vAlign w:val="bottom"/>
          </w:tcPr>
          <w:p w14:paraId="4DAD7413" w14:textId="77777777" w:rsidR="00A20049" w:rsidRPr="00326C32" w:rsidRDefault="00A20049" w:rsidP="002617D1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7016" w:type="dxa"/>
            <w:gridSpan w:val="4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24ACB6E" w14:textId="77777777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% achieving the expected level or more</w:t>
            </w:r>
          </w:p>
        </w:tc>
        <w:tc>
          <w:tcPr>
            <w:tcW w:w="7017" w:type="dxa"/>
            <w:gridSpan w:val="4"/>
            <w:shd w:val="clear" w:color="auto" w:fill="auto"/>
            <w:vAlign w:val="center"/>
          </w:tcPr>
          <w:p w14:paraId="5A6AFC39" w14:textId="77777777" w:rsidR="00A20049" w:rsidRPr="002C53AF" w:rsidRDefault="00A20049" w:rsidP="002617D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% achieving the expected level or more</w:t>
            </w:r>
          </w:p>
        </w:tc>
      </w:tr>
      <w:tr w:rsidR="00A20049" w:rsidRPr="00326C32" w14:paraId="2315097B" w14:textId="77777777" w:rsidTr="002617D1">
        <w:trPr>
          <w:trHeight w:val="907"/>
        </w:trPr>
        <w:tc>
          <w:tcPr>
            <w:tcW w:w="15417" w:type="dxa"/>
            <w:gridSpan w:val="9"/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1DFE8EB2" w14:textId="274D96BD" w:rsidR="00A20049" w:rsidRDefault="00A20049" w:rsidP="002617D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 xml:space="preserve">National comparisons:- </w:t>
            </w:r>
            <w:r w:rsidR="009067AA">
              <w:rPr>
                <w:rFonts w:eastAsia="Arial" w:cs="Arial"/>
                <w:i/>
                <w:sz w:val="18"/>
                <w:szCs w:val="18"/>
              </w:rPr>
              <w:t>76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% reading / </w:t>
            </w:r>
            <w:r w:rsidR="009067AA">
              <w:rPr>
                <w:rFonts w:eastAsia="Arial" w:cs="Arial"/>
                <w:i/>
                <w:sz w:val="18"/>
                <w:szCs w:val="18"/>
              </w:rPr>
              <w:t>6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8% writing / </w:t>
            </w:r>
            <w:r w:rsidR="009067AA">
              <w:rPr>
                <w:rFonts w:eastAsia="Arial" w:cs="Arial"/>
                <w:i/>
                <w:sz w:val="18"/>
                <w:szCs w:val="18"/>
              </w:rPr>
              <w:t>75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% </w:t>
            </w:r>
            <w:r w:rsidR="009067AA">
              <w:rPr>
                <w:rFonts w:eastAsia="Arial" w:cs="Arial"/>
                <w:i/>
                <w:sz w:val="18"/>
                <w:szCs w:val="18"/>
              </w:rPr>
              <w:t xml:space="preserve"> maths – 2017 data </w:t>
            </w:r>
            <w:r w:rsidRPr="004D57ED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412AD408" w14:textId="7CDCA0CD" w:rsidR="00A20049" w:rsidRPr="00344DB7" w:rsidRDefault="00A20049" w:rsidP="001E299F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Summary – </w:t>
            </w:r>
            <w:r w:rsidRPr="00752FF7">
              <w:rPr>
                <w:rFonts w:cs="Arial"/>
              </w:rPr>
              <w:t>The % of St</w:t>
            </w:r>
            <w:r>
              <w:rPr>
                <w:rFonts w:cs="Arial"/>
              </w:rPr>
              <w:t xml:space="preserve"> James’ disadvantaged pupils achieving the expected standard in the 2018 end of key stage tests was lower than for other pupils at St James. </w:t>
            </w:r>
            <w:r w:rsidR="005F73FB">
              <w:rPr>
                <w:rFonts w:cs="Arial"/>
              </w:rPr>
              <w:t>The gap between the attainment of</w:t>
            </w:r>
            <w:r w:rsidR="001E299F">
              <w:rPr>
                <w:rFonts w:cs="Arial"/>
              </w:rPr>
              <w:t xml:space="preserve"> eligible pupils and others is smaller</w:t>
            </w:r>
            <w:r w:rsidR="005F73FB">
              <w:rPr>
                <w:rFonts w:cs="Arial"/>
              </w:rPr>
              <w:t xml:space="preserve"> in KS1 than KS2. </w:t>
            </w:r>
          </w:p>
        </w:tc>
      </w:tr>
    </w:tbl>
    <w:p w14:paraId="5F8E9671" w14:textId="77777777" w:rsidR="00A20049" w:rsidRDefault="00A20049" w:rsidP="00A20049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4678"/>
        <w:gridCol w:w="2223"/>
      </w:tblGrid>
      <w:tr w:rsidR="00344DB7" w14:paraId="524FB9DC" w14:textId="77777777" w:rsidTr="003D4E4A">
        <w:tc>
          <w:tcPr>
            <w:tcW w:w="14834" w:type="dxa"/>
            <w:gridSpan w:val="4"/>
            <w:shd w:val="clear" w:color="auto" w:fill="CFDCE3"/>
          </w:tcPr>
          <w:p w14:paraId="39A6E298" w14:textId="283630E7" w:rsidR="00344DB7" w:rsidRPr="00344DB7" w:rsidRDefault="00344DB7" w:rsidP="00344DB7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Y1 phonic screening test</w:t>
            </w:r>
          </w:p>
        </w:tc>
      </w:tr>
      <w:tr w:rsidR="00344DB7" w14:paraId="0B58F764" w14:textId="77777777" w:rsidTr="00406AD2">
        <w:tc>
          <w:tcPr>
            <w:tcW w:w="3256" w:type="dxa"/>
          </w:tcPr>
          <w:p w14:paraId="579A0230" w14:textId="41FEDE8B" w:rsidR="00344DB7" w:rsidRPr="00344DB7" w:rsidRDefault="00344DB7" w:rsidP="00B17566">
            <w:pPr>
              <w:spacing w:after="200" w:line="276" w:lineRule="auto"/>
              <w:rPr>
                <w:rFonts w:cs="Arial"/>
                <w:i/>
              </w:rPr>
            </w:pPr>
            <w:r w:rsidRPr="00344DB7">
              <w:rPr>
                <w:rFonts w:cs="Arial"/>
                <w:i/>
              </w:rPr>
              <w:t xml:space="preserve">Year 1 </w:t>
            </w:r>
          </w:p>
        </w:tc>
        <w:tc>
          <w:tcPr>
            <w:tcW w:w="4677" w:type="dxa"/>
          </w:tcPr>
          <w:p w14:paraId="397CF60D" w14:textId="1FA786AF" w:rsidR="00344DB7" w:rsidRDefault="00344DB7" w:rsidP="00344DB7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James’ disadvantaged</w:t>
            </w:r>
          </w:p>
          <w:p w14:paraId="4A52E066" w14:textId="45566D2F" w:rsidR="00344DB7" w:rsidRDefault="00344DB7" w:rsidP="00344DB7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(11 pupils eligible for the PP grant)</w:t>
            </w:r>
          </w:p>
        </w:tc>
        <w:tc>
          <w:tcPr>
            <w:tcW w:w="4678" w:type="dxa"/>
          </w:tcPr>
          <w:p w14:paraId="0322E694" w14:textId="77777777" w:rsidR="00344DB7" w:rsidRDefault="00344DB7" w:rsidP="00344DB7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 other</w:t>
            </w:r>
          </w:p>
          <w:p w14:paraId="687797A6" w14:textId="61D5CAF1" w:rsidR="00344DB7" w:rsidRDefault="00344DB7" w:rsidP="00344DB7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(25 Pupils in school not eligible for the PP grant)</w:t>
            </w:r>
          </w:p>
        </w:tc>
        <w:tc>
          <w:tcPr>
            <w:tcW w:w="2223" w:type="dxa"/>
          </w:tcPr>
          <w:p w14:paraId="4F01990A" w14:textId="77777777" w:rsidR="00344DB7" w:rsidRDefault="00344DB7" w:rsidP="00344DB7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344DB7" w14:paraId="249B90C3" w14:textId="77777777" w:rsidTr="00406AD2">
        <w:tc>
          <w:tcPr>
            <w:tcW w:w="3256" w:type="dxa"/>
          </w:tcPr>
          <w:p w14:paraId="6F177A3D" w14:textId="3CE8B32C" w:rsidR="00344DB7" w:rsidRDefault="00344DB7" w:rsidP="00B17566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% achieving pass in phonic screening test </w:t>
            </w:r>
          </w:p>
        </w:tc>
        <w:tc>
          <w:tcPr>
            <w:tcW w:w="4677" w:type="dxa"/>
          </w:tcPr>
          <w:p w14:paraId="72B957DD" w14:textId="719A5E73" w:rsidR="00344DB7" w:rsidRPr="00344DB7" w:rsidRDefault="00344DB7" w:rsidP="00344DB7">
            <w:pPr>
              <w:spacing w:after="200" w:line="360" w:lineRule="auto"/>
              <w:jc w:val="center"/>
              <w:rPr>
                <w:rFonts w:cs="Arial"/>
                <w:b/>
              </w:rPr>
            </w:pPr>
            <w:r w:rsidRPr="00344DB7">
              <w:rPr>
                <w:rFonts w:cs="Arial"/>
                <w:b/>
              </w:rPr>
              <w:t>36</w:t>
            </w:r>
          </w:p>
        </w:tc>
        <w:tc>
          <w:tcPr>
            <w:tcW w:w="4678" w:type="dxa"/>
          </w:tcPr>
          <w:p w14:paraId="4B6CB418" w14:textId="4A265DC9" w:rsidR="00344DB7" w:rsidRPr="00344DB7" w:rsidRDefault="00344DB7" w:rsidP="00344DB7">
            <w:pPr>
              <w:spacing w:after="200" w:line="276" w:lineRule="auto"/>
              <w:jc w:val="center"/>
              <w:rPr>
                <w:rFonts w:cs="Arial"/>
                <w:b/>
              </w:rPr>
            </w:pPr>
            <w:r w:rsidRPr="00344DB7">
              <w:rPr>
                <w:rFonts w:cs="Arial"/>
                <w:b/>
              </w:rPr>
              <w:t>64</w:t>
            </w:r>
          </w:p>
        </w:tc>
        <w:tc>
          <w:tcPr>
            <w:tcW w:w="2223" w:type="dxa"/>
          </w:tcPr>
          <w:p w14:paraId="2445CB78" w14:textId="77777777" w:rsidR="00344DB7" w:rsidRDefault="00344DB7" w:rsidP="00344DB7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344DB7" w14:paraId="3945155B" w14:textId="77777777" w:rsidTr="00344DB7">
        <w:trPr>
          <w:trHeight w:val="70"/>
        </w:trPr>
        <w:tc>
          <w:tcPr>
            <w:tcW w:w="14834" w:type="dxa"/>
            <w:gridSpan w:val="4"/>
          </w:tcPr>
          <w:p w14:paraId="018EEED8" w14:textId="048156E0" w:rsidR="00344DB7" w:rsidRDefault="00344DB7" w:rsidP="00344DB7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 xml:space="preserve">National comparisons:- </w:t>
            </w:r>
            <w:r w:rsidR="007B5C15">
              <w:rPr>
                <w:rFonts w:eastAsia="Arial" w:cs="Arial"/>
                <w:i/>
                <w:sz w:val="18"/>
                <w:szCs w:val="18"/>
              </w:rPr>
              <w:t>81% - 2017 data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 </w:t>
            </w:r>
            <w:r w:rsidRPr="004D57ED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4A7ED3E" w14:textId="01AEEE6B" w:rsidR="00344DB7" w:rsidRDefault="00344DB7" w:rsidP="0063074C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Summary – </w:t>
            </w:r>
            <w:r w:rsidRPr="00752FF7">
              <w:rPr>
                <w:rFonts w:cs="Arial"/>
              </w:rPr>
              <w:t>The % of St</w:t>
            </w:r>
            <w:r>
              <w:rPr>
                <w:rFonts w:cs="Arial"/>
              </w:rPr>
              <w:t xml:space="preserve"> James’ disadvantaged pupils </w:t>
            </w:r>
            <w:r w:rsidR="0063074C">
              <w:rPr>
                <w:rFonts w:cs="Arial"/>
              </w:rPr>
              <w:t xml:space="preserve">passing the phonic screening test was </w:t>
            </w:r>
            <w:r>
              <w:rPr>
                <w:rFonts w:cs="Arial"/>
              </w:rPr>
              <w:t xml:space="preserve">lower than for other pupils at St James. </w:t>
            </w:r>
          </w:p>
        </w:tc>
      </w:tr>
    </w:tbl>
    <w:p w14:paraId="79561B89" w14:textId="77777777" w:rsidR="00A20049" w:rsidRDefault="00A20049" w:rsidP="00B17566">
      <w:pPr>
        <w:spacing w:after="200" w:line="276" w:lineRule="auto"/>
        <w:rPr>
          <w:rFonts w:cs="Arial"/>
        </w:rPr>
      </w:pPr>
    </w:p>
    <w:p w14:paraId="6E1AF949" w14:textId="77777777" w:rsidR="007B5C15" w:rsidRDefault="007B5C15" w:rsidP="00B17566">
      <w:pPr>
        <w:spacing w:after="200" w:line="276" w:lineRule="auto"/>
        <w:rPr>
          <w:rFonts w:cs="Arial"/>
        </w:rPr>
      </w:pPr>
    </w:p>
    <w:p w14:paraId="1BDA6A85" w14:textId="77777777" w:rsidR="007B5C15" w:rsidRDefault="007B5C15" w:rsidP="00B17566">
      <w:pPr>
        <w:spacing w:after="200" w:line="276" w:lineRule="auto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4678"/>
        <w:gridCol w:w="2223"/>
      </w:tblGrid>
      <w:tr w:rsidR="007B5C15" w14:paraId="45BF3715" w14:textId="77777777" w:rsidTr="002617D1">
        <w:tc>
          <w:tcPr>
            <w:tcW w:w="14834" w:type="dxa"/>
            <w:gridSpan w:val="4"/>
            <w:shd w:val="clear" w:color="auto" w:fill="CFDCE3"/>
          </w:tcPr>
          <w:p w14:paraId="050C5901" w14:textId="5C8E4F92" w:rsidR="007B5C15" w:rsidRPr="007B5C15" w:rsidRDefault="007B5C15" w:rsidP="007B5C15">
            <w:pPr>
              <w:pStyle w:val="ListParagraph"/>
              <w:numPr>
                <w:ilvl w:val="0"/>
                <w:numId w:val="28"/>
              </w:numPr>
              <w:spacing w:after="200"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Good Level of Development leaving Reception </w:t>
            </w:r>
          </w:p>
        </w:tc>
      </w:tr>
      <w:tr w:rsidR="007B5C15" w14:paraId="2D4FAB96" w14:textId="77777777" w:rsidTr="002617D1">
        <w:tc>
          <w:tcPr>
            <w:tcW w:w="3256" w:type="dxa"/>
          </w:tcPr>
          <w:p w14:paraId="53B0F18D" w14:textId="60E91BA5" w:rsidR="007B5C15" w:rsidRPr="00344DB7" w:rsidRDefault="007B5C15" w:rsidP="002617D1">
            <w:pPr>
              <w:spacing w:after="200" w:line="276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Year R</w:t>
            </w:r>
          </w:p>
        </w:tc>
        <w:tc>
          <w:tcPr>
            <w:tcW w:w="4677" w:type="dxa"/>
          </w:tcPr>
          <w:p w14:paraId="462F8EA8" w14:textId="77777777" w:rsidR="007B5C15" w:rsidRDefault="007B5C15" w:rsidP="002617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James’ disadvantaged</w:t>
            </w:r>
          </w:p>
          <w:p w14:paraId="2980941B" w14:textId="1905DBAD" w:rsidR="007B5C15" w:rsidRDefault="007B5C15" w:rsidP="002617D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(14 pupils eligible for the PP grant)</w:t>
            </w:r>
          </w:p>
        </w:tc>
        <w:tc>
          <w:tcPr>
            <w:tcW w:w="4678" w:type="dxa"/>
          </w:tcPr>
          <w:p w14:paraId="44BE97D1" w14:textId="77777777" w:rsidR="007B5C15" w:rsidRDefault="007B5C15" w:rsidP="002617D1">
            <w:pPr>
              <w:contextualSpacing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 James other</w:t>
            </w:r>
          </w:p>
          <w:p w14:paraId="5ED2F5C1" w14:textId="139ED881" w:rsidR="007B5C15" w:rsidRDefault="007B5C15" w:rsidP="002617D1">
            <w:pPr>
              <w:spacing w:after="200" w:line="276" w:lineRule="auto"/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(19 Pupils in school not eligible for the PP grant)</w:t>
            </w:r>
          </w:p>
        </w:tc>
        <w:tc>
          <w:tcPr>
            <w:tcW w:w="2223" w:type="dxa"/>
          </w:tcPr>
          <w:p w14:paraId="5E2ADC3B" w14:textId="77777777" w:rsidR="007B5C15" w:rsidRDefault="007B5C15" w:rsidP="002617D1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7B5C15" w14:paraId="776FE1F0" w14:textId="77777777" w:rsidTr="002617D1">
        <w:tc>
          <w:tcPr>
            <w:tcW w:w="3256" w:type="dxa"/>
          </w:tcPr>
          <w:p w14:paraId="64765F66" w14:textId="6D1AF928" w:rsidR="007B5C15" w:rsidRDefault="007B5C15" w:rsidP="007B5C15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% achieving GLD </w:t>
            </w:r>
          </w:p>
        </w:tc>
        <w:tc>
          <w:tcPr>
            <w:tcW w:w="4677" w:type="dxa"/>
          </w:tcPr>
          <w:p w14:paraId="2C36B7F4" w14:textId="4E169445" w:rsidR="007B5C15" w:rsidRPr="00344DB7" w:rsidRDefault="007B5C15" w:rsidP="002617D1">
            <w:pPr>
              <w:spacing w:after="200"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4678" w:type="dxa"/>
          </w:tcPr>
          <w:p w14:paraId="4A3BD4B2" w14:textId="7AF49A5F" w:rsidR="007B5C15" w:rsidRPr="00344DB7" w:rsidRDefault="007B5C15" w:rsidP="002617D1">
            <w:pPr>
              <w:spacing w:after="20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</w:t>
            </w:r>
          </w:p>
        </w:tc>
        <w:tc>
          <w:tcPr>
            <w:tcW w:w="2223" w:type="dxa"/>
          </w:tcPr>
          <w:p w14:paraId="745B8E52" w14:textId="77777777" w:rsidR="007B5C15" w:rsidRDefault="007B5C15" w:rsidP="002617D1">
            <w:pPr>
              <w:spacing w:after="200" w:line="276" w:lineRule="auto"/>
              <w:jc w:val="center"/>
              <w:rPr>
                <w:rFonts w:cs="Arial"/>
              </w:rPr>
            </w:pPr>
          </w:p>
        </w:tc>
      </w:tr>
      <w:tr w:rsidR="007B5C15" w14:paraId="5CBE7A98" w14:textId="77777777" w:rsidTr="002617D1">
        <w:trPr>
          <w:trHeight w:val="70"/>
        </w:trPr>
        <w:tc>
          <w:tcPr>
            <w:tcW w:w="14834" w:type="dxa"/>
            <w:gridSpan w:val="4"/>
          </w:tcPr>
          <w:p w14:paraId="1A3BA1A9" w14:textId="6A637F89" w:rsidR="007B5C15" w:rsidRDefault="007B5C15" w:rsidP="002617D1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 xml:space="preserve">National comparisons:- </w:t>
            </w:r>
            <w:r w:rsidR="004F1A17">
              <w:rPr>
                <w:rFonts w:eastAsia="Arial" w:cs="Arial"/>
                <w:i/>
                <w:sz w:val="18"/>
                <w:szCs w:val="18"/>
              </w:rPr>
              <w:t>71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% – 2017 data </w:t>
            </w:r>
            <w:r w:rsidRPr="004D57ED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CB59267" w14:textId="2E4E60F8" w:rsidR="007B5C15" w:rsidRDefault="007B5C15" w:rsidP="007B5C1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Summary – </w:t>
            </w:r>
            <w:r w:rsidRPr="00752FF7">
              <w:rPr>
                <w:rFonts w:cs="Arial"/>
              </w:rPr>
              <w:t>The % of St</w:t>
            </w:r>
            <w:r>
              <w:rPr>
                <w:rFonts w:cs="Arial"/>
              </w:rPr>
              <w:t xml:space="preserve"> James’ disadvantaged pupils achieving a good level of development was lower than for other pupils at St James. </w:t>
            </w:r>
          </w:p>
        </w:tc>
      </w:tr>
    </w:tbl>
    <w:p w14:paraId="253533AE" w14:textId="77777777" w:rsidR="007B5C15" w:rsidRDefault="007B5C15" w:rsidP="00B17566">
      <w:pPr>
        <w:spacing w:after="200" w:line="276" w:lineRule="auto"/>
        <w:rPr>
          <w:rFonts w:cs="Arial"/>
        </w:rPr>
      </w:pPr>
    </w:p>
    <w:sectPr w:rsidR="007B5C15" w:rsidSect="00D11BD0">
      <w:headerReference w:type="even" r:id="rId15"/>
      <w:headerReference w:type="default" r:id="rId16"/>
      <w:footerReference w:type="default" r:id="rId17"/>
      <w:headerReference w:type="first" r:id="rId18"/>
      <w:pgSz w:w="16840" w:h="11920" w:orient="landscape"/>
      <w:pgMar w:top="426" w:right="1038" w:bottom="284" w:left="958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49E3" w14:textId="77777777" w:rsidR="003F7214" w:rsidRDefault="003F7214" w:rsidP="009F41B6">
      <w:r>
        <w:separator/>
      </w:r>
    </w:p>
    <w:p w14:paraId="288046D5" w14:textId="77777777" w:rsidR="003F7214" w:rsidRDefault="003F7214" w:rsidP="009F41B6"/>
  </w:endnote>
  <w:endnote w:type="continuationSeparator" w:id="0">
    <w:p w14:paraId="589FECAA" w14:textId="77777777" w:rsidR="003F7214" w:rsidRDefault="003F7214" w:rsidP="009F41B6">
      <w:r>
        <w:continuationSeparator/>
      </w:r>
    </w:p>
    <w:p w14:paraId="0A470F13" w14:textId="77777777" w:rsidR="003F7214" w:rsidRDefault="003F7214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7439A889" w:rsidR="00703958" w:rsidRDefault="00703958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004AD" w14:textId="77777777" w:rsidR="003F7214" w:rsidRDefault="003F7214" w:rsidP="009F41B6">
      <w:r>
        <w:separator/>
      </w:r>
    </w:p>
    <w:p w14:paraId="51C03C56" w14:textId="77777777" w:rsidR="003F7214" w:rsidRDefault="003F7214" w:rsidP="009F41B6"/>
  </w:footnote>
  <w:footnote w:type="continuationSeparator" w:id="0">
    <w:p w14:paraId="2473AAA8" w14:textId="77777777" w:rsidR="003F7214" w:rsidRDefault="003F7214" w:rsidP="009F41B6">
      <w:r>
        <w:continuationSeparator/>
      </w:r>
    </w:p>
    <w:p w14:paraId="0466C581" w14:textId="77777777" w:rsidR="003F7214" w:rsidRDefault="003F7214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77D9" w14:textId="52FCB09C" w:rsidR="00703958" w:rsidRDefault="00703958">
    <w:pPr>
      <w:pStyle w:val="Header"/>
    </w:pPr>
  </w:p>
  <w:p w14:paraId="2B8C5917" w14:textId="77777777" w:rsidR="00703958" w:rsidRDefault="007039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D89" w14:textId="04EAD5FA" w:rsidR="00703958" w:rsidRPr="003F351B" w:rsidRDefault="00703958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41D4" w14:textId="5131DDF1" w:rsidR="00703958" w:rsidRPr="003F351B" w:rsidRDefault="00703958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6785EA0"/>
    <w:multiLevelType w:val="hybridMultilevel"/>
    <w:tmpl w:val="BAC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735C"/>
    <w:multiLevelType w:val="hybridMultilevel"/>
    <w:tmpl w:val="AE50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4784A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90872"/>
    <w:multiLevelType w:val="hybridMultilevel"/>
    <w:tmpl w:val="9F3E92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C3698A"/>
    <w:multiLevelType w:val="multilevel"/>
    <w:tmpl w:val="2682D590"/>
    <w:lvl w:ilvl="0"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0E3F301F"/>
    <w:multiLevelType w:val="hybridMultilevel"/>
    <w:tmpl w:val="69844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1725C"/>
    <w:multiLevelType w:val="hybridMultilevel"/>
    <w:tmpl w:val="10D40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2713960"/>
    <w:multiLevelType w:val="hybridMultilevel"/>
    <w:tmpl w:val="ECB222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6B143C5"/>
    <w:multiLevelType w:val="hybridMultilevel"/>
    <w:tmpl w:val="28940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1D6610BA"/>
    <w:multiLevelType w:val="hybridMultilevel"/>
    <w:tmpl w:val="A68CF1D0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7">
    <w:nsid w:val="1E8F10D2"/>
    <w:multiLevelType w:val="hybridMultilevel"/>
    <w:tmpl w:val="F45290B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215F6187"/>
    <w:multiLevelType w:val="hybridMultilevel"/>
    <w:tmpl w:val="6F58239A"/>
    <w:lvl w:ilvl="0" w:tplc="7730F5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D01B3"/>
    <w:multiLevelType w:val="hybridMultilevel"/>
    <w:tmpl w:val="9BE4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12EC6"/>
    <w:multiLevelType w:val="hybridMultilevel"/>
    <w:tmpl w:val="6284F2D2"/>
    <w:lvl w:ilvl="0" w:tplc="E3667B8E">
      <w:start w:val="1"/>
      <w:numFmt w:val="lowerRoman"/>
      <w:lvlText w:val="%1."/>
      <w:lvlJc w:val="righ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F0EE5"/>
    <w:multiLevelType w:val="hybridMultilevel"/>
    <w:tmpl w:val="25C4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9F41EF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88E6516"/>
    <w:multiLevelType w:val="hybridMultilevel"/>
    <w:tmpl w:val="A6D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01204"/>
    <w:multiLevelType w:val="hybridMultilevel"/>
    <w:tmpl w:val="ECB222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25D3110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44995D1E"/>
    <w:multiLevelType w:val="hybridMultilevel"/>
    <w:tmpl w:val="26C6011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8">
    <w:nsid w:val="460C7FA4"/>
    <w:multiLevelType w:val="hybridMultilevel"/>
    <w:tmpl w:val="76F05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>
    <w:nsid w:val="4822122D"/>
    <w:multiLevelType w:val="hybridMultilevel"/>
    <w:tmpl w:val="03148D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A5D5F"/>
    <w:multiLevelType w:val="hybridMultilevel"/>
    <w:tmpl w:val="961AE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FE755E"/>
    <w:multiLevelType w:val="hybridMultilevel"/>
    <w:tmpl w:val="5492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693CFB"/>
    <w:multiLevelType w:val="hybridMultilevel"/>
    <w:tmpl w:val="3804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17112"/>
    <w:multiLevelType w:val="hybridMultilevel"/>
    <w:tmpl w:val="0B1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35003"/>
    <w:multiLevelType w:val="hybridMultilevel"/>
    <w:tmpl w:val="B6648E8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CB10AF"/>
    <w:multiLevelType w:val="hybridMultilevel"/>
    <w:tmpl w:val="8F14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4548F6"/>
    <w:multiLevelType w:val="hybridMultilevel"/>
    <w:tmpl w:val="A560C57E"/>
    <w:lvl w:ilvl="0" w:tplc="76A872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4B1C12"/>
    <w:multiLevelType w:val="hybridMultilevel"/>
    <w:tmpl w:val="1D7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60610"/>
    <w:multiLevelType w:val="multilevel"/>
    <w:tmpl w:val="6A4E9C4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6E4B0A91"/>
    <w:multiLevelType w:val="hybridMultilevel"/>
    <w:tmpl w:val="37EA79CE"/>
    <w:lvl w:ilvl="0" w:tplc="28FC8E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16D76"/>
    <w:multiLevelType w:val="hybridMultilevel"/>
    <w:tmpl w:val="10724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D1AB2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7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22"/>
  </w:num>
  <w:num w:numId="8">
    <w:abstractNumId w:val="15"/>
  </w:num>
  <w:num w:numId="9">
    <w:abstractNumId w:val="29"/>
  </w:num>
  <w:num w:numId="10">
    <w:abstractNumId w:val="12"/>
  </w:num>
  <w:num w:numId="11">
    <w:abstractNumId w:val="36"/>
  </w:num>
  <w:num w:numId="12">
    <w:abstractNumId w:val="33"/>
  </w:num>
  <w:num w:numId="13">
    <w:abstractNumId w:val="3"/>
  </w:num>
  <w:num w:numId="14">
    <w:abstractNumId w:val="4"/>
  </w:num>
  <w:num w:numId="15">
    <w:abstractNumId w:val="32"/>
  </w:num>
  <w:num w:numId="16">
    <w:abstractNumId w:val="14"/>
  </w:num>
  <w:num w:numId="17">
    <w:abstractNumId w:val="40"/>
  </w:num>
  <w:num w:numId="18">
    <w:abstractNumId w:val="24"/>
  </w:num>
  <w:num w:numId="19">
    <w:abstractNumId w:val="30"/>
  </w:num>
  <w:num w:numId="20">
    <w:abstractNumId w:val="21"/>
  </w:num>
  <w:num w:numId="21">
    <w:abstractNumId w:val="43"/>
  </w:num>
  <w:num w:numId="22">
    <w:abstractNumId w:val="19"/>
  </w:num>
  <w:num w:numId="23">
    <w:abstractNumId w:val="16"/>
  </w:num>
  <w:num w:numId="24">
    <w:abstractNumId w:val="27"/>
  </w:num>
  <w:num w:numId="25">
    <w:abstractNumId w:val="35"/>
  </w:num>
  <w:num w:numId="26">
    <w:abstractNumId w:val="11"/>
  </w:num>
  <w:num w:numId="27">
    <w:abstractNumId w:val="45"/>
  </w:num>
  <w:num w:numId="28">
    <w:abstractNumId w:val="25"/>
  </w:num>
  <w:num w:numId="29">
    <w:abstractNumId w:val="38"/>
  </w:num>
  <w:num w:numId="30">
    <w:abstractNumId w:val="34"/>
  </w:num>
  <w:num w:numId="31">
    <w:abstractNumId w:val="31"/>
  </w:num>
  <w:num w:numId="32">
    <w:abstractNumId w:val="17"/>
  </w:num>
  <w:num w:numId="33">
    <w:abstractNumId w:val="42"/>
  </w:num>
  <w:num w:numId="34">
    <w:abstractNumId w:val="39"/>
  </w:num>
  <w:num w:numId="35">
    <w:abstractNumId w:val="18"/>
  </w:num>
  <w:num w:numId="36">
    <w:abstractNumId w:val="20"/>
  </w:num>
  <w:num w:numId="37">
    <w:abstractNumId w:val="6"/>
  </w:num>
  <w:num w:numId="38">
    <w:abstractNumId w:val="5"/>
  </w:num>
  <w:num w:numId="39">
    <w:abstractNumId w:val="7"/>
  </w:num>
  <w:num w:numId="40">
    <w:abstractNumId w:val="23"/>
  </w:num>
  <w:num w:numId="41">
    <w:abstractNumId w:val="28"/>
  </w:num>
  <w:num w:numId="42">
    <w:abstractNumId w:val="8"/>
  </w:num>
  <w:num w:numId="43">
    <w:abstractNumId w:val="41"/>
  </w:num>
  <w:num w:numId="44">
    <w:abstractNumId w:val="26"/>
  </w:num>
  <w:num w:numId="45">
    <w:abstractNumId w:val="44"/>
  </w:num>
  <w:num w:numId="4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029BE"/>
    <w:rsid w:val="00011A88"/>
    <w:rsid w:val="00013A6E"/>
    <w:rsid w:val="000145B5"/>
    <w:rsid w:val="000162C6"/>
    <w:rsid w:val="0002203B"/>
    <w:rsid w:val="00023913"/>
    <w:rsid w:val="00024EA2"/>
    <w:rsid w:val="00030ABD"/>
    <w:rsid w:val="00031F36"/>
    <w:rsid w:val="00036EE2"/>
    <w:rsid w:val="000442BD"/>
    <w:rsid w:val="00044873"/>
    <w:rsid w:val="00046F58"/>
    <w:rsid w:val="00051E2E"/>
    <w:rsid w:val="00052AEB"/>
    <w:rsid w:val="00053503"/>
    <w:rsid w:val="000549AE"/>
    <w:rsid w:val="00057100"/>
    <w:rsid w:val="00060EBF"/>
    <w:rsid w:val="00066B1C"/>
    <w:rsid w:val="0007258F"/>
    <w:rsid w:val="00074179"/>
    <w:rsid w:val="00074641"/>
    <w:rsid w:val="00081EE7"/>
    <w:rsid w:val="00083A73"/>
    <w:rsid w:val="00086722"/>
    <w:rsid w:val="00095901"/>
    <w:rsid w:val="00096EAF"/>
    <w:rsid w:val="000A10F4"/>
    <w:rsid w:val="000A2D5E"/>
    <w:rsid w:val="000A4B41"/>
    <w:rsid w:val="000B3DE0"/>
    <w:rsid w:val="000B4A3E"/>
    <w:rsid w:val="000C503E"/>
    <w:rsid w:val="000C6B02"/>
    <w:rsid w:val="000C7733"/>
    <w:rsid w:val="000D1D30"/>
    <w:rsid w:val="000D2F05"/>
    <w:rsid w:val="000D4433"/>
    <w:rsid w:val="000D5697"/>
    <w:rsid w:val="000E3350"/>
    <w:rsid w:val="000E46AE"/>
    <w:rsid w:val="000F1A98"/>
    <w:rsid w:val="000F22D0"/>
    <w:rsid w:val="000F73F3"/>
    <w:rsid w:val="00103E77"/>
    <w:rsid w:val="00113E8C"/>
    <w:rsid w:val="0011494F"/>
    <w:rsid w:val="00121C6C"/>
    <w:rsid w:val="001232CE"/>
    <w:rsid w:val="0012742C"/>
    <w:rsid w:val="001321D2"/>
    <w:rsid w:val="00133075"/>
    <w:rsid w:val="00144268"/>
    <w:rsid w:val="00147214"/>
    <w:rsid w:val="00152A3A"/>
    <w:rsid w:val="001540AB"/>
    <w:rsid w:val="00155ECC"/>
    <w:rsid w:val="001615DF"/>
    <w:rsid w:val="00161A13"/>
    <w:rsid w:val="0017051C"/>
    <w:rsid w:val="00171F6B"/>
    <w:rsid w:val="00174104"/>
    <w:rsid w:val="001747E2"/>
    <w:rsid w:val="00176EB9"/>
    <w:rsid w:val="001811F8"/>
    <w:rsid w:val="00183D0C"/>
    <w:rsid w:val="00190C3A"/>
    <w:rsid w:val="00196306"/>
    <w:rsid w:val="001A0936"/>
    <w:rsid w:val="001A25DC"/>
    <w:rsid w:val="001A3A04"/>
    <w:rsid w:val="001B2AE2"/>
    <w:rsid w:val="001B4452"/>
    <w:rsid w:val="001B5C15"/>
    <w:rsid w:val="001B6A91"/>
    <w:rsid w:val="001B796F"/>
    <w:rsid w:val="001C4E9C"/>
    <w:rsid w:val="001C55FC"/>
    <w:rsid w:val="001C5A63"/>
    <w:rsid w:val="001C5EB6"/>
    <w:rsid w:val="001C7959"/>
    <w:rsid w:val="001D09EC"/>
    <w:rsid w:val="001D42A6"/>
    <w:rsid w:val="001D569D"/>
    <w:rsid w:val="001D5770"/>
    <w:rsid w:val="001E299F"/>
    <w:rsid w:val="001E3581"/>
    <w:rsid w:val="001E6CDB"/>
    <w:rsid w:val="001F257C"/>
    <w:rsid w:val="001F428D"/>
    <w:rsid w:val="00203ACA"/>
    <w:rsid w:val="00203EC9"/>
    <w:rsid w:val="00207CF2"/>
    <w:rsid w:val="00210E6D"/>
    <w:rsid w:val="002113CF"/>
    <w:rsid w:val="00212E0B"/>
    <w:rsid w:val="00214378"/>
    <w:rsid w:val="00214713"/>
    <w:rsid w:val="0022255C"/>
    <w:rsid w:val="0022489D"/>
    <w:rsid w:val="00224C95"/>
    <w:rsid w:val="002262F3"/>
    <w:rsid w:val="00230559"/>
    <w:rsid w:val="0023095D"/>
    <w:rsid w:val="002332F8"/>
    <w:rsid w:val="00234F75"/>
    <w:rsid w:val="00237C3C"/>
    <w:rsid w:val="00237F6B"/>
    <w:rsid w:val="002406E2"/>
    <w:rsid w:val="00240F4B"/>
    <w:rsid w:val="00241718"/>
    <w:rsid w:val="00245048"/>
    <w:rsid w:val="00252891"/>
    <w:rsid w:val="002575C5"/>
    <w:rsid w:val="002634E2"/>
    <w:rsid w:val="002708E4"/>
    <w:rsid w:val="0027230F"/>
    <w:rsid w:val="0027252F"/>
    <w:rsid w:val="00273718"/>
    <w:rsid w:val="002839B5"/>
    <w:rsid w:val="00283D8B"/>
    <w:rsid w:val="00287788"/>
    <w:rsid w:val="00291E8A"/>
    <w:rsid w:val="00292DED"/>
    <w:rsid w:val="002A1D3B"/>
    <w:rsid w:val="002A28F7"/>
    <w:rsid w:val="002A3153"/>
    <w:rsid w:val="002B0709"/>
    <w:rsid w:val="002B2775"/>
    <w:rsid w:val="002B37EB"/>
    <w:rsid w:val="002C3AA4"/>
    <w:rsid w:val="002C53AF"/>
    <w:rsid w:val="002D18A0"/>
    <w:rsid w:val="002D1911"/>
    <w:rsid w:val="002D44A8"/>
    <w:rsid w:val="002D4B69"/>
    <w:rsid w:val="002E463F"/>
    <w:rsid w:val="002E4E9A"/>
    <w:rsid w:val="002E508B"/>
    <w:rsid w:val="002E5F9F"/>
    <w:rsid w:val="002E7368"/>
    <w:rsid w:val="002E7849"/>
    <w:rsid w:val="002F15EE"/>
    <w:rsid w:val="002F6A4F"/>
    <w:rsid w:val="002F7128"/>
    <w:rsid w:val="00300F99"/>
    <w:rsid w:val="0030310D"/>
    <w:rsid w:val="003036A2"/>
    <w:rsid w:val="0030636D"/>
    <w:rsid w:val="00306BA2"/>
    <w:rsid w:val="003154AC"/>
    <w:rsid w:val="00316DD9"/>
    <w:rsid w:val="003231C9"/>
    <w:rsid w:val="00323776"/>
    <w:rsid w:val="00325D84"/>
    <w:rsid w:val="00326C32"/>
    <w:rsid w:val="00333B04"/>
    <w:rsid w:val="003370A4"/>
    <w:rsid w:val="003409F2"/>
    <w:rsid w:val="0034222D"/>
    <w:rsid w:val="00343EFD"/>
    <w:rsid w:val="00344DB7"/>
    <w:rsid w:val="00345269"/>
    <w:rsid w:val="00347C36"/>
    <w:rsid w:val="00361752"/>
    <w:rsid w:val="00361FE6"/>
    <w:rsid w:val="00364F65"/>
    <w:rsid w:val="00374981"/>
    <w:rsid w:val="0037557E"/>
    <w:rsid w:val="003810D8"/>
    <w:rsid w:val="003817C5"/>
    <w:rsid w:val="003853A4"/>
    <w:rsid w:val="00390B80"/>
    <w:rsid w:val="003A01C4"/>
    <w:rsid w:val="003A1CC2"/>
    <w:rsid w:val="003A6E17"/>
    <w:rsid w:val="003C0411"/>
    <w:rsid w:val="003C1ECF"/>
    <w:rsid w:val="003C60B5"/>
    <w:rsid w:val="003D1EFE"/>
    <w:rsid w:val="003D764C"/>
    <w:rsid w:val="003E129B"/>
    <w:rsid w:val="003E1329"/>
    <w:rsid w:val="003E4B03"/>
    <w:rsid w:val="003E59EE"/>
    <w:rsid w:val="003F28B3"/>
    <w:rsid w:val="003F351B"/>
    <w:rsid w:val="003F63E0"/>
    <w:rsid w:val="003F7214"/>
    <w:rsid w:val="003F751E"/>
    <w:rsid w:val="003F7BDE"/>
    <w:rsid w:val="00406AD2"/>
    <w:rsid w:val="00407032"/>
    <w:rsid w:val="004129CE"/>
    <w:rsid w:val="004158B0"/>
    <w:rsid w:val="00416220"/>
    <w:rsid w:val="00417209"/>
    <w:rsid w:val="00420585"/>
    <w:rsid w:val="00421F3D"/>
    <w:rsid w:val="004242C5"/>
    <w:rsid w:val="00430BEF"/>
    <w:rsid w:val="0043261E"/>
    <w:rsid w:val="004339FB"/>
    <w:rsid w:val="00436A77"/>
    <w:rsid w:val="0043760C"/>
    <w:rsid w:val="00442364"/>
    <w:rsid w:val="00445E79"/>
    <w:rsid w:val="004509BE"/>
    <w:rsid w:val="00451FA7"/>
    <w:rsid w:val="004572EE"/>
    <w:rsid w:val="004671CA"/>
    <w:rsid w:val="00467BC5"/>
    <w:rsid w:val="00470223"/>
    <w:rsid w:val="00471FEE"/>
    <w:rsid w:val="004726CF"/>
    <w:rsid w:val="00482BF2"/>
    <w:rsid w:val="004866AD"/>
    <w:rsid w:val="004943BD"/>
    <w:rsid w:val="004977DF"/>
    <w:rsid w:val="00497D2D"/>
    <w:rsid w:val="004A0192"/>
    <w:rsid w:val="004A25DF"/>
    <w:rsid w:val="004A279F"/>
    <w:rsid w:val="004B0132"/>
    <w:rsid w:val="004B19E5"/>
    <w:rsid w:val="004B4394"/>
    <w:rsid w:val="004B6B92"/>
    <w:rsid w:val="004C04CA"/>
    <w:rsid w:val="004C1DC7"/>
    <w:rsid w:val="004D0B5A"/>
    <w:rsid w:val="004D13A3"/>
    <w:rsid w:val="004D4F4A"/>
    <w:rsid w:val="004D57ED"/>
    <w:rsid w:val="004E0F5B"/>
    <w:rsid w:val="004E6CD9"/>
    <w:rsid w:val="004F00ED"/>
    <w:rsid w:val="004F19D4"/>
    <w:rsid w:val="004F1A17"/>
    <w:rsid w:val="004F20E3"/>
    <w:rsid w:val="004F211A"/>
    <w:rsid w:val="004F3159"/>
    <w:rsid w:val="004F4AEF"/>
    <w:rsid w:val="004F70A9"/>
    <w:rsid w:val="00500764"/>
    <w:rsid w:val="00503147"/>
    <w:rsid w:val="00503E32"/>
    <w:rsid w:val="00505A57"/>
    <w:rsid w:val="0050779E"/>
    <w:rsid w:val="00507850"/>
    <w:rsid w:val="00507870"/>
    <w:rsid w:val="0052566B"/>
    <w:rsid w:val="0052767D"/>
    <w:rsid w:val="00531CFD"/>
    <w:rsid w:val="00536E0B"/>
    <w:rsid w:val="00537BDA"/>
    <w:rsid w:val="00550E2B"/>
    <w:rsid w:val="005535E5"/>
    <w:rsid w:val="00553E4E"/>
    <w:rsid w:val="005552BF"/>
    <w:rsid w:val="00560451"/>
    <w:rsid w:val="00562261"/>
    <w:rsid w:val="0056283E"/>
    <w:rsid w:val="00565A60"/>
    <w:rsid w:val="00566C31"/>
    <w:rsid w:val="0057250B"/>
    <w:rsid w:val="00572C72"/>
    <w:rsid w:val="00573780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94A"/>
    <w:rsid w:val="005A07FF"/>
    <w:rsid w:val="005A1DE2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C0A99"/>
    <w:rsid w:val="005C0B41"/>
    <w:rsid w:val="005C1447"/>
    <w:rsid w:val="005C14AE"/>
    <w:rsid w:val="005C1770"/>
    <w:rsid w:val="005C2466"/>
    <w:rsid w:val="005C353F"/>
    <w:rsid w:val="005C3645"/>
    <w:rsid w:val="005C6416"/>
    <w:rsid w:val="005C657D"/>
    <w:rsid w:val="005D05CE"/>
    <w:rsid w:val="005D252F"/>
    <w:rsid w:val="005D380A"/>
    <w:rsid w:val="005D3D25"/>
    <w:rsid w:val="005D4DC0"/>
    <w:rsid w:val="005E3379"/>
    <w:rsid w:val="005E70E7"/>
    <w:rsid w:val="005F107C"/>
    <w:rsid w:val="005F226C"/>
    <w:rsid w:val="005F73FB"/>
    <w:rsid w:val="005F7472"/>
    <w:rsid w:val="00602008"/>
    <w:rsid w:val="0060702F"/>
    <w:rsid w:val="006108B3"/>
    <w:rsid w:val="00611F91"/>
    <w:rsid w:val="00613F8A"/>
    <w:rsid w:val="006155C4"/>
    <w:rsid w:val="006237FB"/>
    <w:rsid w:val="0062454F"/>
    <w:rsid w:val="006248B1"/>
    <w:rsid w:val="00626DD2"/>
    <w:rsid w:val="0063074C"/>
    <w:rsid w:val="00633E4E"/>
    <w:rsid w:val="00635D57"/>
    <w:rsid w:val="006418B2"/>
    <w:rsid w:val="00642026"/>
    <w:rsid w:val="00642404"/>
    <w:rsid w:val="006429B3"/>
    <w:rsid w:val="006431E0"/>
    <w:rsid w:val="00647EFA"/>
    <w:rsid w:val="00650A8D"/>
    <w:rsid w:val="00652973"/>
    <w:rsid w:val="006558CA"/>
    <w:rsid w:val="00657E79"/>
    <w:rsid w:val="006606F5"/>
    <w:rsid w:val="006606F9"/>
    <w:rsid w:val="0067185E"/>
    <w:rsid w:val="00671B64"/>
    <w:rsid w:val="00671D5B"/>
    <w:rsid w:val="00671FA2"/>
    <w:rsid w:val="006775FA"/>
    <w:rsid w:val="006814D7"/>
    <w:rsid w:val="0068544D"/>
    <w:rsid w:val="0069409E"/>
    <w:rsid w:val="00695D08"/>
    <w:rsid w:val="00695EA0"/>
    <w:rsid w:val="006A27AA"/>
    <w:rsid w:val="006A3602"/>
    <w:rsid w:val="006B1F9F"/>
    <w:rsid w:val="006C382D"/>
    <w:rsid w:val="006D1162"/>
    <w:rsid w:val="006D67EB"/>
    <w:rsid w:val="006E22B1"/>
    <w:rsid w:val="006E7F39"/>
    <w:rsid w:val="006F1F96"/>
    <w:rsid w:val="006F6DC9"/>
    <w:rsid w:val="00700337"/>
    <w:rsid w:val="00700B01"/>
    <w:rsid w:val="007022F7"/>
    <w:rsid w:val="00702EBF"/>
    <w:rsid w:val="00703958"/>
    <w:rsid w:val="0071291C"/>
    <w:rsid w:val="00713414"/>
    <w:rsid w:val="0071604F"/>
    <w:rsid w:val="00730350"/>
    <w:rsid w:val="00730EF3"/>
    <w:rsid w:val="0073516C"/>
    <w:rsid w:val="007403F5"/>
    <w:rsid w:val="007426B3"/>
    <w:rsid w:val="007428C7"/>
    <w:rsid w:val="0074314F"/>
    <w:rsid w:val="00743353"/>
    <w:rsid w:val="00745C9F"/>
    <w:rsid w:val="00746697"/>
    <w:rsid w:val="00747CD7"/>
    <w:rsid w:val="0075096B"/>
    <w:rsid w:val="00751648"/>
    <w:rsid w:val="00752FF7"/>
    <w:rsid w:val="00756321"/>
    <w:rsid w:val="00756943"/>
    <w:rsid w:val="00760615"/>
    <w:rsid w:val="0076231A"/>
    <w:rsid w:val="00762400"/>
    <w:rsid w:val="00762D24"/>
    <w:rsid w:val="00764D03"/>
    <w:rsid w:val="00765E95"/>
    <w:rsid w:val="00766306"/>
    <w:rsid w:val="007748A3"/>
    <w:rsid w:val="00774F55"/>
    <w:rsid w:val="00775D8A"/>
    <w:rsid w:val="0077659E"/>
    <w:rsid w:val="00777AD4"/>
    <w:rsid w:val="00780950"/>
    <w:rsid w:val="007809EF"/>
    <w:rsid w:val="007830F9"/>
    <w:rsid w:val="00783210"/>
    <w:rsid w:val="00783B69"/>
    <w:rsid w:val="00783D2C"/>
    <w:rsid w:val="007900EB"/>
    <w:rsid w:val="00794F29"/>
    <w:rsid w:val="00796607"/>
    <w:rsid w:val="007A0750"/>
    <w:rsid w:val="007A2250"/>
    <w:rsid w:val="007A5759"/>
    <w:rsid w:val="007A5B9B"/>
    <w:rsid w:val="007B1021"/>
    <w:rsid w:val="007B3CFE"/>
    <w:rsid w:val="007B5C15"/>
    <w:rsid w:val="007C321D"/>
    <w:rsid w:val="007C41A5"/>
    <w:rsid w:val="007C58BE"/>
    <w:rsid w:val="007C740C"/>
    <w:rsid w:val="007C7EEE"/>
    <w:rsid w:val="007D0537"/>
    <w:rsid w:val="007D080B"/>
    <w:rsid w:val="007D100D"/>
    <w:rsid w:val="007D1348"/>
    <w:rsid w:val="007D29D3"/>
    <w:rsid w:val="007E06DD"/>
    <w:rsid w:val="007E35BC"/>
    <w:rsid w:val="007F1ACB"/>
    <w:rsid w:val="007F4221"/>
    <w:rsid w:val="007F670A"/>
    <w:rsid w:val="007F7235"/>
    <w:rsid w:val="00800BFC"/>
    <w:rsid w:val="00800DEB"/>
    <w:rsid w:val="00803C83"/>
    <w:rsid w:val="00813B3D"/>
    <w:rsid w:val="00814458"/>
    <w:rsid w:val="00814D1A"/>
    <w:rsid w:val="008168A2"/>
    <w:rsid w:val="00816E77"/>
    <w:rsid w:val="00817C9D"/>
    <w:rsid w:val="00821CD3"/>
    <w:rsid w:val="00823AE8"/>
    <w:rsid w:val="00824E92"/>
    <w:rsid w:val="00827FF1"/>
    <w:rsid w:val="00830FE1"/>
    <w:rsid w:val="00831263"/>
    <w:rsid w:val="00831DB7"/>
    <w:rsid w:val="008327B8"/>
    <w:rsid w:val="00832EBF"/>
    <w:rsid w:val="0083302E"/>
    <w:rsid w:val="008348A3"/>
    <w:rsid w:val="00834ED6"/>
    <w:rsid w:val="008366CB"/>
    <w:rsid w:val="00837F3A"/>
    <w:rsid w:val="008419B8"/>
    <w:rsid w:val="0084240F"/>
    <w:rsid w:val="0084290A"/>
    <w:rsid w:val="00847309"/>
    <w:rsid w:val="008515CE"/>
    <w:rsid w:val="008620F3"/>
    <w:rsid w:val="00863986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4E46"/>
    <w:rsid w:val="008A23F9"/>
    <w:rsid w:val="008A4181"/>
    <w:rsid w:val="008A460D"/>
    <w:rsid w:val="008A4CD5"/>
    <w:rsid w:val="008A588F"/>
    <w:rsid w:val="008A644A"/>
    <w:rsid w:val="008B05BD"/>
    <w:rsid w:val="008B0C03"/>
    <w:rsid w:val="008B0DD1"/>
    <w:rsid w:val="008B1297"/>
    <w:rsid w:val="008B250D"/>
    <w:rsid w:val="008B3D7C"/>
    <w:rsid w:val="008B427B"/>
    <w:rsid w:val="008B4BFF"/>
    <w:rsid w:val="008B6009"/>
    <w:rsid w:val="008B66CA"/>
    <w:rsid w:val="008C3B85"/>
    <w:rsid w:val="008C46DC"/>
    <w:rsid w:val="008D15AA"/>
    <w:rsid w:val="008D6968"/>
    <w:rsid w:val="008E3B15"/>
    <w:rsid w:val="008E3F07"/>
    <w:rsid w:val="008E413A"/>
    <w:rsid w:val="008E4B40"/>
    <w:rsid w:val="008E5F36"/>
    <w:rsid w:val="008E63EA"/>
    <w:rsid w:val="008E77AA"/>
    <w:rsid w:val="008F2757"/>
    <w:rsid w:val="008F2E4F"/>
    <w:rsid w:val="008F6CA2"/>
    <w:rsid w:val="008F6F8B"/>
    <w:rsid w:val="008F7436"/>
    <w:rsid w:val="00903E42"/>
    <w:rsid w:val="00904AC4"/>
    <w:rsid w:val="0090521B"/>
    <w:rsid w:val="009055E4"/>
    <w:rsid w:val="009067AA"/>
    <w:rsid w:val="00906D6A"/>
    <w:rsid w:val="0091025E"/>
    <w:rsid w:val="00915D44"/>
    <w:rsid w:val="00917E9C"/>
    <w:rsid w:val="00920440"/>
    <w:rsid w:val="00922AF8"/>
    <w:rsid w:val="0092379D"/>
    <w:rsid w:val="00924E3D"/>
    <w:rsid w:val="00925160"/>
    <w:rsid w:val="0092542E"/>
    <w:rsid w:val="00936100"/>
    <w:rsid w:val="0094137E"/>
    <w:rsid w:val="00941F1B"/>
    <w:rsid w:val="00947CF2"/>
    <w:rsid w:val="00950F88"/>
    <w:rsid w:val="00951C56"/>
    <w:rsid w:val="00955907"/>
    <w:rsid w:val="0095599F"/>
    <w:rsid w:val="00956CF7"/>
    <w:rsid w:val="00961817"/>
    <w:rsid w:val="0096424B"/>
    <w:rsid w:val="009662D0"/>
    <w:rsid w:val="009716FA"/>
    <w:rsid w:val="00972D1B"/>
    <w:rsid w:val="00982C55"/>
    <w:rsid w:val="00983DB9"/>
    <w:rsid w:val="00984AA8"/>
    <w:rsid w:val="00984FA5"/>
    <w:rsid w:val="00985088"/>
    <w:rsid w:val="00985495"/>
    <w:rsid w:val="0098648B"/>
    <w:rsid w:val="009A244C"/>
    <w:rsid w:val="009A602D"/>
    <w:rsid w:val="009A7402"/>
    <w:rsid w:val="009B0DAA"/>
    <w:rsid w:val="009B32FA"/>
    <w:rsid w:val="009B45C4"/>
    <w:rsid w:val="009C13DC"/>
    <w:rsid w:val="009C1908"/>
    <w:rsid w:val="009C73CF"/>
    <w:rsid w:val="009C7FB2"/>
    <w:rsid w:val="009D1AF5"/>
    <w:rsid w:val="009E00AE"/>
    <w:rsid w:val="009E09C7"/>
    <w:rsid w:val="009E09D3"/>
    <w:rsid w:val="009E1D00"/>
    <w:rsid w:val="009E6E74"/>
    <w:rsid w:val="009F3E29"/>
    <w:rsid w:val="009F41B6"/>
    <w:rsid w:val="009F49D4"/>
    <w:rsid w:val="009F4A2B"/>
    <w:rsid w:val="009F53ED"/>
    <w:rsid w:val="00A038BE"/>
    <w:rsid w:val="00A0665A"/>
    <w:rsid w:val="00A1458F"/>
    <w:rsid w:val="00A15FD8"/>
    <w:rsid w:val="00A20049"/>
    <w:rsid w:val="00A30B00"/>
    <w:rsid w:val="00A30BA1"/>
    <w:rsid w:val="00A3636B"/>
    <w:rsid w:val="00A37DEE"/>
    <w:rsid w:val="00A433C3"/>
    <w:rsid w:val="00A50806"/>
    <w:rsid w:val="00A54BB7"/>
    <w:rsid w:val="00A5643A"/>
    <w:rsid w:val="00A5723C"/>
    <w:rsid w:val="00A60232"/>
    <w:rsid w:val="00A60D43"/>
    <w:rsid w:val="00A66499"/>
    <w:rsid w:val="00A677F9"/>
    <w:rsid w:val="00A67B3E"/>
    <w:rsid w:val="00A707A4"/>
    <w:rsid w:val="00A7274B"/>
    <w:rsid w:val="00A73FB8"/>
    <w:rsid w:val="00A763CB"/>
    <w:rsid w:val="00A772FF"/>
    <w:rsid w:val="00A801D1"/>
    <w:rsid w:val="00A81F69"/>
    <w:rsid w:val="00A84C17"/>
    <w:rsid w:val="00A86089"/>
    <w:rsid w:val="00A91CB0"/>
    <w:rsid w:val="00A93FC0"/>
    <w:rsid w:val="00A95ADF"/>
    <w:rsid w:val="00A95D3F"/>
    <w:rsid w:val="00AA000B"/>
    <w:rsid w:val="00AA3484"/>
    <w:rsid w:val="00AA7E7B"/>
    <w:rsid w:val="00AB1AF9"/>
    <w:rsid w:val="00AB3B48"/>
    <w:rsid w:val="00AB5287"/>
    <w:rsid w:val="00AB6D0F"/>
    <w:rsid w:val="00AB7858"/>
    <w:rsid w:val="00AC4931"/>
    <w:rsid w:val="00AC61A6"/>
    <w:rsid w:val="00AD01F4"/>
    <w:rsid w:val="00AD1C4B"/>
    <w:rsid w:val="00AD1DD2"/>
    <w:rsid w:val="00AD2062"/>
    <w:rsid w:val="00AD2F1D"/>
    <w:rsid w:val="00AD6CF9"/>
    <w:rsid w:val="00AE1E46"/>
    <w:rsid w:val="00AE5177"/>
    <w:rsid w:val="00AF0989"/>
    <w:rsid w:val="00AF28C7"/>
    <w:rsid w:val="00AF681C"/>
    <w:rsid w:val="00AF785C"/>
    <w:rsid w:val="00B05C2C"/>
    <w:rsid w:val="00B05DDC"/>
    <w:rsid w:val="00B1029F"/>
    <w:rsid w:val="00B120FB"/>
    <w:rsid w:val="00B17566"/>
    <w:rsid w:val="00B22C2B"/>
    <w:rsid w:val="00B26579"/>
    <w:rsid w:val="00B3498C"/>
    <w:rsid w:val="00B34F49"/>
    <w:rsid w:val="00B35EEF"/>
    <w:rsid w:val="00B37B2A"/>
    <w:rsid w:val="00B37CB2"/>
    <w:rsid w:val="00B40979"/>
    <w:rsid w:val="00B4154D"/>
    <w:rsid w:val="00B43CAD"/>
    <w:rsid w:val="00B463F6"/>
    <w:rsid w:val="00B51536"/>
    <w:rsid w:val="00B55A49"/>
    <w:rsid w:val="00B56ACC"/>
    <w:rsid w:val="00B61038"/>
    <w:rsid w:val="00B64265"/>
    <w:rsid w:val="00B64618"/>
    <w:rsid w:val="00B6712A"/>
    <w:rsid w:val="00B67F76"/>
    <w:rsid w:val="00B70A9F"/>
    <w:rsid w:val="00B70EFF"/>
    <w:rsid w:val="00B7558C"/>
    <w:rsid w:val="00B845DA"/>
    <w:rsid w:val="00B85794"/>
    <w:rsid w:val="00B9194F"/>
    <w:rsid w:val="00B929B0"/>
    <w:rsid w:val="00BA003B"/>
    <w:rsid w:val="00BA22C0"/>
    <w:rsid w:val="00BA2625"/>
    <w:rsid w:val="00BA6EB3"/>
    <w:rsid w:val="00BB05E2"/>
    <w:rsid w:val="00BB7C04"/>
    <w:rsid w:val="00BD1111"/>
    <w:rsid w:val="00BD26B6"/>
    <w:rsid w:val="00BD4A45"/>
    <w:rsid w:val="00BD7DF4"/>
    <w:rsid w:val="00BE01C6"/>
    <w:rsid w:val="00BE07AA"/>
    <w:rsid w:val="00BE1509"/>
    <w:rsid w:val="00BE22B3"/>
    <w:rsid w:val="00BE4DAC"/>
    <w:rsid w:val="00BE5BC4"/>
    <w:rsid w:val="00BF13F8"/>
    <w:rsid w:val="00BF68F1"/>
    <w:rsid w:val="00BF72D1"/>
    <w:rsid w:val="00C01CFF"/>
    <w:rsid w:val="00C02406"/>
    <w:rsid w:val="00C02C7D"/>
    <w:rsid w:val="00C073B9"/>
    <w:rsid w:val="00C07E21"/>
    <w:rsid w:val="00C1494D"/>
    <w:rsid w:val="00C15B78"/>
    <w:rsid w:val="00C1653C"/>
    <w:rsid w:val="00C2207B"/>
    <w:rsid w:val="00C30479"/>
    <w:rsid w:val="00C46129"/>
    <w:rsid w:val="00C529E8"/>
    <w:rsid w:val="00C6013F"/>
    <w:rsid w:val="00C62AF3"/>
    <w:rsid w:val="00C63537"/>
    <w:rsid w:val="00C66273"/>
    <w:rsid w:val="00C6636B"/>
    <w:rsid w:val="00C67394"/>
    <w:rsid w:val="00C71561"/>
    <w:rsid w:val="00C71E70"/>
    <w:rsid w:val="00C75A77"/>
    <w:rsid w:val="00C8124F"/>
    <w:rsid w:val="00C81513"/>
    <w:rsid w:val="00C838AF"/>
    <w:rsid w:val="00C84637"/>
    <w:rsid w:val="00C8519F"/>
    <w:rsid w:val="00C851D5"/>
    <w:rsid w:val="00C9157E"/>
    <w:rsid w:val="00C92AD3"/>
    <w:rsid w:val="00C92ED5"/>
    <w:rsid w:val="00C93184"/>
    <w:rsid w:val="00C93999"/>
    <w:rsid w:val="00CA1009"/>
    <w:rsid w:val="00CA278F"/>
    <w:rsid w:val="00CA30B4"/>
    <w:rsid w:val="00CA4180"/>
    <w:rsid w:val="00CA716C"/>
    <w:rsid w:val="00CA72FC"/>
    <w:rsid w:val="00CB56F5"/>
    <w:rsid w:val="00CB58E8"/>
    <w:rsid w:val="00CB6E04"/>
    <w:rsid w:val="00CC2512"/>
    <w:rsid w:val="00CC4C58"/>
    <w:rsid w:val="00CC547F"/>
    <w:rsid w:val="00CD0909"/>
    <w:rsid w:val="00CD4AA1"/>
    <w:rsid w:val="00CD5D21"/>
    <w:rsid w:val="00CE0E9F"/>
    <w:rsid w:val="00CE40D7"/>
    <w:rsid w:val="00CE5F52"/>
    <w:rsid w:val="00CE7906"/>
    <w:rsid w:val="00CF0E19"/>
    <w:rsid w:val="00D01EE5"/>
    <w:rsid w:val="00D02CE4"/>
    <w:rsid w:val="00D04B89"/>
    <w:rsid w:val="00D05342"/>
    <w:rsid w:val="00D10355"/>
    <w:rsid w:val="00D11BD0"/>
    <w:rsid w:val="00D21B4A"/>
    <w:rsid w:val="00D250EA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ED4"/>
    <w:rsid w:val="00D54C67"/>
    <w:rsid w:val="00D54F53"/>
    <w:rsid w:val="00D55BDC"/>
    <w:rsid w:val="00D57563"/>
    <w:rsid w:val="00D57CFC"/>
    <w:rsid w:val="00D64A19"/>
    <w:rsid w:val="00D660A1"/>
    <w:rsid w:val="00D66FFC"/>
    <w:rsid w:val="00D70729"/>
    <w:rsid w:val="00D71D4B"/>
    <w:rsid w:val="00D71F30"/>
    <w:rsid w:val="00D7239F"/>
    <w:rsid w:val="00D736C0"/>
    <w:rsid w:val="00D74921"/>
    <w:rsid w:val="00D83492"/>
    <w:rsid w:val="00D92274"/>
    <w:rsid w:val="00D94339"/>
    <w:rsid w:val="00D9707F"/>
    <w:rsid w:val="00DA165A"/>
    <w:rsid w:val="00DA1F8E"/>
    <w:rsid w:val="00DA57A4"/>
    <w:rsid w:val="00DB0D07"/>
    <w:rsid w:val="00DB0ED9"/>
    <w:rsid w:val="00DC1D74"/>
    <w:rsid w:val="00DC39E8"/>
    <w:rsid w:val="00DC4185"/>
    <w:rsid w:val="00DC4922"/>
    <w:rsid w:val="00DC4950"/>
    <w:rsid w:val="00DC585C"/>
    <w:rsid w:val="00DD3A4E"/>
    <w:rsid w:val="00DD51B7"/>
    <w:rsid w:val="00DD699B"/>
    <w:rsid w:val="00DD788A"/>
    <w:rsid w:val="00DE2205"/>
    <w:rsid w:val="00DE3B89"/>
    <w:rsid w:val="00DE6998"/>
    <w:rsid w:val="00DF0054"/>
    <w:rsid w:val="00DF00D5"/>
    <w:rsid w:val="00DF3309"/>
    <w:rsid w:val="00DF398D"/>
    <w:rsid w:val="00DF5124"/>
    <w:rsid w:val="00DF5709"/>
    <w:rsid w:val="00DF7F39"/>
    <w:rsid w:val="00E026F9"/>
    <w:rsid w:val="00E035B8"/>
    <w:rsid w:val="00E1507B"/>
    <w:rsid w:val="00E1702C"/>
    <w:rsid w:val="00E17C6D"/>
    <w:rsid w:val="00E20C79"/>
    <w:rsid w:val="00E2257D"/>
    <w:rsid w:val="00E22EE8"/>
    <w:rsid w:val="00E23ABB"/>
    <w:rsid w:val="00E23E99"/>
    <w:rsid w:val="00E307E5"/>
    <w:rsid w:val="00E3093A"/>
    <w:rsid w:val="00E33078"/>
    <w:rsid w:val="00E335AB"/>
    <w:rsid w:val="00E33AB6"/>
    <w:rsid w:val="00E3530B"/>
    <w:rsid w:val="00E35C31"/>
    <w:rsid w:val="00E4012C"/>
    <w:rsid w:val="00E41485"/>
    <w:rsid w:val="00E42A8F"/>
    <w:rsid w:val="00E43FBC"/>
    <w:rsid w:val="00E44E2C"/>
    <w:rsid w:val="00E473CE"/>
    <w:rsid w:val="00E50127"/>
    <w:rsid w:val="00E50AA2"/>
    <w:rsid w:val="00E5223F"/>
    <w:rsid w:val="00E538B7"/>
    <w:rsid w:val="00E61359"/>
    <w:rsid w:val="00E6185D"/>
    <w:rsid w:val="00E66B4F"/>
    <w:rsid w:val="00E66F9E"/>
    <w:rsid w:val="00E70FC4"/>
    <w:rsid w:val="00E72112"/>
    <w:rsid w:val="00E741D5"/>
    <w:rsid w:val="00E74474"/>
    <w:rsid w:val="00E752F8"/>
    <w:rsid w:val="00E81060"/>
    <w:rsid w:val="00E83C17"/>
    <w:rsid w:val="00E87A6A"/>
    <w:rsid w:val="00E9232A"/>
    <w:rsid w:val="00E92A89"/>
    <w:rsid w:val="00E96154"/>
    <w:rsid w:val="00EA4174"/>
    <w:rsid w:val="00EA4D1B"/>
    <w:rsid w:val="00EA7EF1"/>
    <w:rsid w:val="00EB1D11"/>
    <w:rsid w:val="00EB281B"/>
    <w:rsid w:val="00EB79FF"/>
    <w:rsid w:val="00EC1C50"/>
    <w:rsid w:val="00EC4226"/>
    <w:rsid w:val="00ED121A"/>
    <w:rsid w:val="00ED3D05"/>
    <w:rsid w:val="00ED5025"/>
    <w:rsid w:val="00EE072C"/>
    <w:rsid w:val="00EE1C85"/>
    <w:rsid w:val="00EE5713"/>
    <w:rsid w:val="00EE64AE"/>
    <w:rsid w:val="00EE715F"/>
    <w:rsid w:val="00EF0C6F"/>
    <w:rsid w:val="00EF7E61"/>
    <w:rsid w:val="00F06445"/>
    <w:rsid w:val="00F06863"/>
    <w:rsid w:val="00F07114"/>
    <w:rsid w:val="00F127CF"/>
    <w:rsid w:val="00F206A7"/>
    <w:rsid w:val="00F3105E"/>
    <w:rsid w:val="00F31AAB"/>
    <w:rsid w:val="00F31B8F"/>
    <w:rsid w:val="00F34185"/>
    <w:rsid w:val="00F3609A"/>
    <w:rsid w:val="00F41591"/>
    <w:rsid w:val="00F41A63"/>
    <w:rsid w:val="00F43E4B"/>
    <w:rsid w:val="00F45BEB"/>
    <w:rsid w:val="00F54523"/>
    <w:rsid w:val="00F5702C"/>
    <w:rsid w:val="00F626AA"/>
    <w:rsid w:val="00F70793"/>
    <w:rsid w:val="00F84544"/>
    <w:rsid w:val="00F84C99"/>
    <w:rsid w:val="00F87538"/>
    <w:rsid w:val="00F90552"/>
    <w:rsid w:val="00F908B7"/>
    <w:rsid w:val="00F92798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54CC"/>
    <w:rsid w:val="00FB7601"/>
    <w:rsid w:val="00FC0C51"/>
    <w:rsid w:val="00FC3903"/>
    <w:rsid w:val="00FC6848"/>
    <w:rsid w:val="00FC7C4F"/>
    <w:rsid w:val="00FD2228"/>
    <w:rsid w:val="00FD64FC"/>
    <w:rsid w:val="00FE1B88"/>
    <w:rsid w:val="00FE6DB7"/>
    <w:rsid w:val="00FF23F8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List Bullet" w:semiHidden="0" w:unhideWhenUsed="0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List Bullet" w:semiHidden="0" w:unhideWhenUsed="0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9E1D00"/>
    <w:pPr>
      <w:spacing w:after="240" w:line="288" w:lineRule="auto"/>
    </w:pPr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 w:line="240" w:lineRule="auto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 w:line="240" w:lineRule="auto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MMNJCVCXF7WK-21-71846</_dlc_DocId>
    <_dlc_DocIdUrl xmlns="b8cb3cbd-ce5c-4a72-9da4-9013f91c5903">
      <Url>http://workplaces/sites/ncsss/k/_layouts/DocIdRedir.aspx?ID=MMNJCVCXF7WK-21-71846</Url>
      <Description>MMNJCVCXF7WK-21-71846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microsoft.com/office/2006/metadata/properties"/>
    <ds:schemaRef ds:uri="7fae6ca9-b18b-49a6-bdfe-0a20c49a9ba9"/>
    <ds:schemaRef ds:uri="b8cb3cbd-ce5c-4a72-9da4-9013f91c5903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22A42ED-48E3-4B0A-A968-569AD37D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3201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Matthew Hill</cp:lastModifiedBy>
  <cp:revision>3</cp:revision>
  <cp:lastPrinted>2018-11-07T17:20:00Z</cp:lastPrinted>
  <dcterms:created xsi:type="dcterms:W3CDTF">2018-11-08T08:14:00Z</dcterms:created>
  <dcterms:modified xsi:type="dcterms:W3CDTF">2018-11-08T08:14:00Z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fae1a7b4-d02a-4876-bd57-32fe01e69082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</Properties>
</file>